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D873" w14:textId="77777777" w:rsidR="0058424E" w:rsidRDefault="002119FA">
      <w:pPr>
        <w:rPr>
          <w:sz w:val="32"/>
          <w:szCs w:val="32"/>
        </w:rPr>
      </w:pPr>
      <w:proofErr w:type="spellStart"/>
      <w:r>
        <w:rPr>
          <w:sz w:val="32"/>
          <w:szCs w:val="32"/>
        </w:rPr>
        <w:t>HyFlex</w:t>
      </w:r>
      <w:proofErr w:type="spellEnd"/>
      <w:r>
        <w:rPr>
          <w:sz w:val="32"/>
          <w:szCs w:val="32"/>
        </w:rPr>
        <w:t xml:space="preserve"> Learning Community Course Quality Rubric (HLCCQR)</w:t>
      </w:r>
    </w:p>
    <w:p w14:paraId="16E98587" w14:textId="77777777" w:rsidR="0058424E" w:rsidRDefault="002119FA">
      <w:pPr>
        <w:rPr>
          <w:sz w:val="20"/>
          <w:szCs w:val="20"/>
        </w:rPr>
      </w:pPr>
      <w:r>
        <w:rPr>
          <w:sz w:val="20"/>
          <w:szCs w:val="20"/>
        </w:rPr>
        <w:t xml:space="preserve"> </w:t>
      </w:r>
    </w:p>
    <w:p w14:paraId="17B4460A" w14:textId="77777777" w:rsidR="0058424E" w:rsidRDefault="002119FA">
      <w:pPr>
        <w:rPr>
          <w:sz w:val="20"/>
          <w:szCs w:val="20"/>
        </w:rPr>
      </w:pPr>
      <w:r>
        <w:rPr>
          <w:sz w:val="20"/>
          <w:szCs w:val="20"/>
        </w:rPr>
        <w:t>HOW TO USE THIS TOOL</w:t>
      </w:r>
    </w:p>
    <w:p w14:paraId="79EFB7BC" w14:textId="77777777" w:rsidR="0058424E" w:rsidRDefault="002119FA">
      <w:pPr>
        <w:rPr>
          <w:sz w:val="20"/>
          <w:szCs w:val="20"/>
        </w:rPr>
      </w:pPr>
      <w:r>
        <w:rPr>
          <w:sz w:val="20"/>
          <w:szCs w:val="20"/>
        </w:rPr>
        <w:t xml:space="preserve"> </w:t>
      </w:r>
    </w:p>
    <w:p w14:paraId="7C6899C9" w14:textId="77777777" w:rsidR="0058424E" w:rsidRDefault="002119FA">
      <w:pPr>
        <w:rPr>
          <w:sz w:val="20"/>
          <w:szCs w:val="20"/>
        </w:rPr>
      </w:pPr>
      <w:r>
        <w:rPr>
          <w:sz w:val="20"/>
          <w:szCs w:val="20"/>
        </w:rPr>
        <w:t xml:space="preserve">For each of the four </w:t>
      </w:r>
      <w:proofErr w:type="spellStart"/>
      <w:r>
        <w:rPr>
          <w:sz w:val="20"/>
          <w:szCs w:val="20"/>
        </w:rPr>
        <w:t>HyFlex</w:t>
      </w:r>
      <w:proofErr w:type="spellEnd"/>
      <w:r>
        <w:rPr>
          <w:sz w:val="20"/>
          <w:szCs w:val="20"/>
        </w:rPr>
        <w:t xml:space="preserve"> principles (values, pillars), there are corresponding metrics. The metrics identify criteria that a </w:t>
      </w:r>
      <w:proofErr w:type="spellStart"/>
      <w:r>
        <w:rPr>
          <w:sz w:val="20"/>
          <w:szCs w:val="20"/>
        </w:rPr>
        <w:t>HyFlex</w:t>
      </w:r>
      <w:proofErr w:type="spellEnd"/>
      <w:r>
        <w:rPr>
          <w:sz w:val="20"/>
          <w:szCs w:val="20"/>
        </w:rPr>
        <w:t xml:space="preserve"> course should have. Most of the criteria apply to a lesson, a few apply to the entire course and others may apply to administrative support. As you review each lesson, determine the level to which each metric has been met by filling the appropriate bubble (circle). Note any revisions (deletions, corrections, additions, and comments) to be completed in the Action plan &amp; Comments portion of the rubric. Include comments such as due dates or team member who will complete the change. Categories are listed below with the option to estimate the time it may take to complete a suggested revision.</w:t>
      </w:r>
    </w:p>
    <w:p w14:paraId="53E0A2D6" w14:textId="77777777" w:rsidR="0058424E" w:rsidRDefault="002119FA">
      <w:pPr>
        <w:rPr>
          <w:sz w:val="20"/>
          <w:szCs w:val="20"/>
        </w:rPr>
      </w:pPr>
      <w:r>
        <w:rPr>
          <w:sz w:val="20"/>
          <w:szCs w:val="20"/>
        </w:rPr>
        <w:t xml:space="preserve"> </w:t>
      </w:r>
    </w:p>
    <w:p w14:paraId="6BD3DE74" w14:textId="77777777" w:rsidR="0058424E" w:rsidRDefault="002119FA">
      <w:pPr>
        <w:rPr>
          <w:sz w:val="20"/>
          <w:szCs w:val="20"/>
        </w:rPr>
      </w:pPr>
      <w:r>
        <w:rPr>
          <w:sz w:val="20"/>
          <w:szCs w:val="20"/>
        </w:rPr>
        <w:t>Revision Options:</w:t>
      </w:r>
    </w:p>
    <w:p w14:paraId="3A0A0BDE" w14:textId="77777777" w:rsidR="0058424E" w:rsidRDefault="002119FA">
      <w:pPr>
        <w:ind w:left="720"/>
        <w:rPr>
          <w:sz w:val="20"/>
          <w:szCs w:val="20"/>
        </w:rPr>
      </w:pPr>
      <w:proofErr w:type="gramStart"/>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sz w:val="20"/>
          <w:szCs w:val="20"/>
        </w:rPr>
        <w:t>(</w:t>
      </w:r>
      <w:proofErr w:type="gramEnd"/>
      <w:r>
        <w:rPr>
          <w:sz w:val="20"/>
          <w:szCs w:val="20"/>
        </w:rPr>
        <w:t>4) Sufficiently Present – no revision needed</w:t>
      </w:r>
    </w:p>
    <w:p w14:paraId="2E7603B7" w14:textId="77777777" w:rsidR="0058424E" w:rsidRDefault="002119FA">
      <w:pPr>
        <w:ind w:left="720"/>
        <w:rPr>
          <w:sz w:val="20"/>
          <w:szCs w:val="20"/>
        </w:rPr>
      </w:pPr>
      <w:proofErr w:type="gramStart"/>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sz w:val="20"/>
          <w:szCs w:val="20"/>
        </w:rPr>
        <w:t>(</w:t>
      </w:r>
      <w:proofErr w:type="gramEnd"/>
      <w:r>
        <w:rPr>
          <w:sz w:val="20"/>
          <w:szCs w:val="20"/>
        </w:rPr>
        <w:t>3) Minor Revision</w:t>
      </w:r>
    </w:p>
    <w:p w14:paraId="00794293" w14:textId="77777777" w:rsidR="0058424E" w:rsidRDefault="002119FA">
      <w:pPr>
        <w:ind w:left="720"/>
        <w:rPr>
          <w:sz w:val="20"/>
          <w:szCs w:val="20"/>
        </w:rPr>
      </w:pPr>
      <w:proofErr w:type="gramStart"/>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sz w:val="20"/>
          <w:szCs w:val="20"/>
        </w:rPr>
        <w:t>(</w:t>
      </w:r>
      <w:proofErr w:type="gramEnd"/>
      <w:r>
        <w:rPr>
          <w:sz w:val="20"/>
          <w:szCs w:val="20"/>
        </w:rPr>
        <w:t>2) Moderate Revision</w:t>
      </w:r>
    </w:p>
    <w:p w14:paraId="46FBB2A1" w14:textId="77777777" w:rsidR="0058424E" w:rsidRDefault="002119FA">
      <w:pPr>
        <w:ind w:left="720"/>
        <w:rPr>
          <w:sz w:val="20"/>
          <w:szCs w:val="20"/>
        </w:rPr>
      </w:pPr>
      <w:proofErr w:type="gramStart"/>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sz w:val="20"/>
          <w:szCs w:val="20"/>
        </w:rPr>
        <w:t>(</w:t>
      </w:r>
      <w:proofErr w:type="gramEnd"/>
      <w:r>
        <w:rPr>
          <w:sz w:val="20"/>
          <w:szCs w:val="20"/>
        </w:rPr>
        <w:t>1) Major Revision</w:t>
      </w:r>
    </w:p>
    <w:p w14:paraId="4100B14B" w14:textId="432E68B2" w:rsidR="0058424E" w:rsidRDefault="002119FA">
      <w:pPr>
        <w:rPr>
          <w:sz w:val="20"/>
          <w:szCs w:val="20"/>
        </w:rPr>
      </w:pPr>
      <w:r>
        <w:rPr>
          <w:sz w:val="20"/>
          <w:szCs w:val="20"/>
        </w:rPr>
        <w:t>Action plans briefly describe what you will change, add, delete to improve the learner’s experience.</w:t>
      </w:r>
    </w:p>
    <w:p w14:paraId="66734E5A" w14:textId="257CEBCA" w:rsidR="00F12273" w:rsidRDefault="00F12273">
      <w:pPr>
        <w:rPr>
          <w:sz w:val="20"/>
          <w:szCs w:val="20"/>
        </w:rPr>
      </w:pPr>
    </w:p>
    <w:p w14:paraId="446E7E26" w14:textId="1BA1B6A6" w:rsidR="00F12273" w:rsidRDefault="00F12273">
      <w:pPr>
        <w:rPr>
          <w:sz w:val="20"/>
          <w:szCs w:val="20"/>
        </w:rPr>
      </w:pPr>
      <w:r w:rsidRPr="00502AE3">
        <w:rPr>
          <w:sz w:val="20"/>
          <w:szCs w:val="20"/>
          <w:highlight w:val="cyan"/>
        </w:rPr>
        <w:t xml:space="preserve">Since it is possible for learners to complete the course asynchronously, the asynchronous portion of the course should meet the college’s standard for online </w:t>
      </w:r>
      <w:r w:rsidR="006B2AA8" w:rsidRPr="00502AE3">
        <w:rPr>
          <w:sz w:val="20"/>
          <w:szCs w:val="20"/>
          <w:highlight w:val="cyan"/>
        </w:rPr>
        <w:t>asynchronous</w:t>
      </w:r>
      <w:r w:rsidRPr="00502AE3">
        <w:rPr>
          <w:sz w:val="20"/>
          <w:szCs w:val="20"/>
          <w:highlight w:val="cyan"/>
        </w:rPr>
        <w:t xml:space="preserve"> courses including </w:t>
      </w:r>
      <w:r w:rsidR="006B2AA8" w:rsidRPr="00502AE3">
        <w:rPr>
          <w:sz w:val="20"/>
          <w:szCs w:val="20"/>
          <w:highlight w:val="cyan"/>
        </w:rPr>
        <w:t>Regular and Substantive Interactions, social presence, organization, easy to navigate, etc.</w:t>
      </w:r>
    </w:p>
    <w:p w14:paraId="25E8CC28" w14:textId="4F633BF4" w:rsidR="00A35F3E" w:rsidRDefault="00A35F3E">
      <w:pPr>
        <w:rPr>
          <w:sz w:val="20"/>
          <w:szCs w:val="20"/>
        </w:rPr>
      </w:pPr>
    </w:p>
    <w:p w14:paraId="2CFFECBD" w14:textId="615EFE93" w:rsidR="00A35F3E" w:rsidRDefault="00A35F3E">
      <w:pPr>
        <w:rPr>
          <w:sz w:val="20"/>
          <w:szCs w:val="20"/>
        </w:rPr>
      </w:pPr>
      <w:r w:rsidRPr="00650ECC">
        <w:rPr>
          <w:sz w:val="20"/>
          <w:szCs w:val="20"/>
          <w:highlight w:val="yellow"/>
        </w:rPr>
        <w:t xml:space="preserve">*Highlighted areas have been added by </w:t>
      </w:r>
      <w:r w:rsidRPr="00650ECC">
        <w:rPr>
          <w:i/>
          <w:sz w:val="20"/>
          <w:szCs w:val="20"/>
          <w:highlight w:val="yellow"/>
        </w:rPr>
        <w:t>Reynolds Community College Center for Excellence in Teaching and Learning</w:t>
      </w:r>
      <w:r w:rsidRPr="00650ECC">
        <w:rPr>
          <w:sz w:val="20"/>
          <w:szCs w:val="20"/>
          <w:highlight w:val="yellow"/>
        </w:rPr>
        <w:t>. Yellow highlights are for additional clarification. Blue highlights are college wide or the responsibility of the college.</w:t>
      </w:r>
      <w:r>
        <w:rPr>
          <w:sz w:val="20"/>
          <w:szCs w:val="20"/>
        </w:rPr>
        <w:t xml:space="preserve"> </w:t>
      </w:r>
    </w:p>
    <w:p w14:paraId="529E5147" w14:textId="77777777" w:rsidR="0058424E" w:rsidRDefault="0058424E">
      <w:pPr>
        <w:rPr>
          <w:sz w:val="20"/>
          <w:szCs w:val="20"/>
        </w:rPr>
      </w:pPr>
    </w:p>
    <w:p w14:paraId="6A5E3E70" w14:textId="77777777" w:rsidR="00502AE3" w:rsidRDefault="00502AE3">
      <w:pPr>
        <w:rPr>
          <w:sz w:val="20"/>
          <w:szCs w:val="20"/>
        </w:rPr>
      </w:pPr>
    </w:p>
    <w:p w14:paraId="372B1865" w14:textId="77777777" w:rsidR="00502AE3" w:rsidRDefault="00502AE3">
      <w:pPr>
        <w:rPr>
          <w:sz w:val="20"/>
          <w:szCs w:val="20"/>
        </w:rPr>
      </w:pPr>
    </w:p>
    <w:p w14:paraId="222B1AA5" w14:textId="77777777" w:rsidR="00502AE3" w:rsidRDefault="00502AE3">
      <w:pPr>
        <w:rPr>
          <w:sz w:val="20"/>
          <w:szCs w:val="20"/>
        </w:rPr>
      </w:pPr>
    </w:p>
    <w:p w14:paraId="14F7DA80" w14:textId="77777777" w:rsidR="00502AE3" w:rsidRDefault="00502AE3">
      <w:pPr>
        <w:rPr>
          <w:sz w:val="20"/>
          <w:szCs w:val="20"/>
        </w:rPr>
      </w:pPr>
    </w:p>
    <w:p w14:paraId="490417A4" w14:textId="77777777" w:rsidR="00502AE3" w:rsidRDefault="00502AE3">
      <w:pPr>
        <w:rPr>
          <w:sz w:val="20"/>
          <w:szCs w:val="20"/>
        </w:rPr>
      </w:pPr>
    </w:p>
    <w:p w14:paraId="06AD32B6" w14:textId="77777777" w:rsidR="00502AE3" w:rsidRDefault="00502AE3">
      <w:pPr>
        <w:rPr>
          <w:sz w:val="20"/>
          <w:szCs w:val="20"/>
        </w:rPr>
      </w:pPr>
    </w:p>
    <w:p w14:paraId="53E99458" w14:textId="77777777" w:rsidR="00502AE3" w:rsidRDefault="00502AE3">
      <w:pPr>
        <w:rPr>
          <w:sz w:val="20"/>
          <w:szCs w:val="20"/>
        </w:rPr>
      </w:pPr>
    </w:p>
    <w:tbl>
      <w:tblPr>
        <w:tblStyle w:val="a"/>
        <w:tblW w:w="12795" w:type="dxa"/>
        <w:tblBorders>
          <w:top w:val="nil"/>
          <w:left w:val="nil"/>
          <w:bottom w:val="nil"/>
          <w:right w:val="nil"/>
          <w:insideH w:val="nil"/>
          <w:insideV w:val="nil"/>
        </w:tblBorders>
        <w:tblLayout w:type="fixed"/>
        <w:tblLook w:val="0600" w:firstRow="0" w:lastRow="0" w:firstColumn="0" w:lastColumn="0" w:noHBand="1" w:noVBand="1"/>
      </w:tblPr>
      <w:tblGrid>
        <w:gridCol w:w="2565"/>
        <w:gridCol w:w="3720"/>
        <w:gridCol w:w="2970"/>
        <w:gridCol w:w="3540"/>
      </w:tblGrid>
      <w:tr w:rsidR="0058424E" w14:paraId="7BC5BD22" w14:textId="77777777">
        <w:trPr>
          <w:trHeight w:val="815"/>
        </w:trPr>
        <w:tc>
          <w:tcPr>
            <w:tcW w:w="12795" w:type="dxa"/>
            <w:gridSpan w:val="4"/>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14:paraId="1EA0F221" w14:textId="77777777" w:rsidR="0058424E" w:rsidRDefault="002119FA">
            <w:pPr>
              <w:rPr>
                <w:sz w:val="20"/>
                <w:szCs w:val="20"/>
              </w:rPr>
            </w:pPr>
            <w:r>
              <w:rPr>
                <w:sz w:val="20"/>
                <w:szCs w:val="20"/>
              </w:rPr>
              <w:lastRenderedPageBreak/>
              <w:t>LEARNER CHOICE (Maximum Points: 24)</w:t>
            </w:r>
          </w:p>
          <w:p w14:paraId="1F758D98" w14:textId="77777777" w:rsidR="0058424E" w:rsidRDefault="0058424E">
            <w:pPr>
              <w:rPr>
                <w:sz w:val="20"/>
                <w:szCs w:val="20"/>
              </w:rPr>
            </w:pPr>
          </w:p>
        </w:tc>
      </w:tr>
      <w:tr w:rsidR="0058424E" w14:paraId="08F160E6" w14:textId="77777777">
        <w:trPr>
          <w:trHeight w:val="455"/>
        </w:trPr>
        <w:tc>
          <w:tcPr>
            <w:tcW w:w="256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BF5B50A" w14:textId="77777777" w:rsidR="0058424E" w:rsidRDefault="002119FA">
            <w:pPr>
              <w:rPr>
                <w:sz w:val="20"/>
                <w:szCs w:val="20"/>
              </w:rPr>
            </w:pPr>
            <w:r>
              <w:rPr>
                <w:sz w:val="20"/>
                <w:szCs w:val="20"/>
              </w:rPr>
              <w:t>Metric</w:t>
            </w:r>
          </w:p>
        </w:tc>
        <w:tc>
          <w:tcPr>
            <w:tcW w:w="372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4C2F2BDB" w14:textId="77777777" w:rsidR="0058424E" w:rsidRDefault="002119FA">
            <w:pPr>
              <w:rPr>
                <w:sz w:val="20"/>
                <w:szCs w:val="20"/>
              </w:rPr>
            </w:pPr>
            <w:r>
              <w:rPr>
                <w:sz w:val="20"/>
                <w:szCs w:val="20"/>
              </w:rPr>
              <w:t>Description</w:t>
            </w:r>
          </w:p>
        </w:tc>
        <w:tc>
          <w:tcPr>
            <w:tcW w:w="297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48B247B3" w14:textId="77777777" w:rsidR="0058424E" w:rsidRDefault="002119FA">
            <w:pPr>
              <w:rPr>
                <w:sz w:val="20"/>
                <w:szCs w:val="20"/>
              </w:rPr>
            </w:pPr>
            <w:r>
              <w:rPr>
                <w:sz w:val="20"/>
                <w:szCs w:val="20"/>
              </w:rPr>
              <w:t>Revision Status</w:t>
            </w:r>
          </w:p>
        </w:tc>
        <w:tc>
          <w:tcPr>
            <w:tcW w:w="354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A758161" w14:textId="77777777" w:rsidR="0058424E" w:rsidRDefault="002119FA">
            <w:pPr>
              <w:rPr>
                <w:sz w:val="20"/>
                <w:szCs w:val="20"/>
              </w:rPr>
            </w:pPr>
            <w:r>
              <w:rPr>
                <w:sz w:val="20"/>
                <w:szCs w:val="20"/>
              </w:rPr>
              <w:t>Action Plan &amp; Comments</w:t>
            </w:r>
          </w:p>
        </w:tc>
      </w:tr>
      <w:tr w:rsidR="0058424E" w14:paraId="003F3C79" w14:textId="77777777">
        <w:trPr>
          <w:trHeight w:val="1650"/>
        </w:trPr>
        <w:tc>
          <w:tcPr>
            <w:tcW w:w="2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F185E" w14:textId="77777777" w:rsidR="0058424E" w:rsidRDefault="002119FA">
            <w:pPr>
              <w:spacing w:line="240" w:lineRule="auto"/>
              <w:rPr>
                <w:sz w:val="18"/>
                <w:szCs w:val="18"/>
              </w:rPr>
            </w:pPr>
            <w:r>
              <w:rPr>
                <w:sz w:val="18"/>
                <w:szCs w:val="18"/>
              </w:rPr>
              <w:t>The learner rather than the teacher selects the participation mode best for them.</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6AC8F" w14:textId="77777777" w:rsidR="0058424E" w:rsidRDefault="002119FA">
            <w:pPr>
              <w:spacing w:line="240" w:lineRule="auto"/>
              <w:rPr>
                <w:sz w:val="18"/>
                <w:szCs w:val="18"/>
              </w:rPr>
            </w:pPr>
            <w:r>
              <w:rPr>
                <w:sz w:val="18"/>
                <w:szCs w:val="18"/>
              </w:rPr>
              <w:t>Learners are given the option of how to participate (how they complete course activities in any given week or topic).</w:t>
            </w:r>
          </w:p>
          <w:p w14:paraId="5046BEB1" w14:textId="77777777" w:rsidR="0058424E" w:rsidRDefault="002119FA">
            <w:pPr>
              <w:spacing w:line="240" w:lineRule="auto"/>
              <w:rPr>
                <w:sz w:val="18"/>
                <w:szCs w:val="18"/>
              </w:rPr>
            </w:pPr>
            <w:r>
              <w:rPr>
                <w:sz w:val="18"/>
                <w:szCs w:val="18"/>
              </w:rPr>
              <w:t xml:space="preserve"> </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E76D9"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56F247E9"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27BD90C2"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2E673786"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9C960" w14:textId="77777777" w:rsidR="0058424E" w:rsidRDefault="002119FA">
            <w:pPr>
              <w:spacing w:line="240" w:lineRule="auto"/>
              <w:rPr>
                <w:sz w:val="18"/>
                <w:szCs w:val="18"/>
              </w:rPr>
            </w:pPr>
            <w:r>
              <w:rPr>
                <w:sz w:val="18"/>
                <w:szCs w:val="18"/>
              </w:rPr>
              <w:t xml:space="preserve"> </w:t>
            </w:r>
          </w:p>
        </w:tc>
      </w:tr>
    </w:tbl>
    <w:p w14:paraId="14FFA435" w14:textId="77777777" w:rsidR="0058424E" w:rsidRDefault="0058424E">
      <w:pPr>
        <w:rPr>
          <w:rFonts w:ascii="Calibri" w:eastAsia="Calibri" w:hAnsi="Calibri" w:cs="Calibri"/>
          <w:sz w:val="24"/>
          <w:szCs w:val="24"/>
        </w:rPr>
      </w:pPr>
    </w:p>
    <w:tbl>
      <w:tblPr>
        <w:tblStyle w:val="a0"/>
        <w:tblW w:w="12705" w:type="dxa"/>
        <w:tblBorders>
          <w:top w:val="nil"/>
          <w:left w:val="nil"/>
          <w:bottom w:val="nil"/>
          <w:right w:val="nil"/>
          <w:insideH w:val="nil"/>
          <w:insideV w:val="nil"/>
        </w:tblBorders>
        <w:tblLayout w:type="fixed"/>
        <w:tblLook w:val="0600" w:firstRow="0" w:lastRow="0" w:firstColumn="0" w:lastColumn="0" w:noHBand="1" w:noVBand="1"/>
      </w:tblPr>
      <w:tblGrid>
        <w:gridCol w:w="2580"/>
        <w:gridCol w:w="3645"/>
        <w:gridCol w:w="2985"/>
        <w:gridCol w:w="3495"/>
      </w:tblGrid>
      <w:tr w:rsidR="0058424E" w14:paraId="5BC645A8" w14:textId="77777777">
        <w:trPr>
          <w:trHeight w:val="455"/>
        </w:trPr>
        <w:tc>
          <w:tcPr>
            <w:tcW w:w="258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2E4B4C37" w14:textId="77777777" w:rsidR="0058424E" w:rsidRDefault="002119FA">
            <w:pPr>
              <w:rPr>
                <w:sz w:val="20"/>
                <w:szCs w:val="20"/>
              </w:rPr>
            </w:pPr>
            <w:r>
              <w:rPr>
                <w:sz w:val="20"/>
                <w:szCs w:val="20"/>
              </w:rPr>
              <w:t>Metric</w:t>
            </w:r>
          </w:p>
        </w:tc>
        <w:tc>
          <w:tcPr>
            <w:tcW w:w="3645"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19B79C5A" w14:textId="77777777" w:rsidR="0058424E" w:rsidRDefault="002119FA">
            <w:pPr>
              <w:rPr>
                <w:sz w:val="20"/>
                <w:szCs w:val="20"/>
              </w:rPr>
            </w:pPr>
            <w:r>
              <w:rPr>
                <w:sz w:val="20"/>
                <w:szCs w:val="20"/>
              </w:rPr>
              <w:t>Description</w:t>
            </w:r>
          </w:p>
        </w:tc>
        <w:tc>
          <w:tcPr>
            <w:tcW w:w="2985"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33F5E17E" w14:textId="77777777" w:rsidR="0058424E" w:rsidRDefault="002119FA">
            <w:pPr>
              <w:rPr>
                <w:sz w:val="20"/>
                <w:szCs w:val="20"/>
              </w:rPr>
            </w:pPr>
            <w:r>
              <w:rPr>
                <w:sz w:val="20"/>
                <w:szCs w:val="20"/>
              </w:rPr>
              <w:t>Revision Status</w:t>
            </w:r>
          </w:p>
        </w:tc>
        <w:tc>
          <w:tcPr>
            <w:tcW w:w="3495"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7AD86C79" w14:textId="77777777" w:rsidR="0058424E" w:rsidRDefault="002119FA">
            <w:pPr>
              <w:rPr>
                <w:sz w:val="20"/>
                <w:szCs w:val="20"/>
              </w:rPr>
            </w:pPr>
            <w:r>
              <w:rPr>
                <w:sz w:val="20"/>
                <w:szCs w:val="20"/>
              </w:rPr>
              <w:t>Action Plan &amp; Comments</w:t>
            </w:r>
          </w:p>
        </w:tc>
      </w:tr>
      <w:tr w:rsidR="0058424E" w14:paraId="19DBCC10" w14:textId="77777777">
        <w:trPr>
          <w:trHeight w:val="186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B26DB" w14:textId="77777777" w:rsidR="0058424E" w:rsidRDefault="002119FA">
            <w:pPr>
              <w:spacing w:line="240" w:lineRule="auto"/>
              <w:rPr>
                <w:sz w:val="18"/>
                <w:szCs w:val="18"/>
              </w:rPr>
            </w:pPr>
            <w:r>
              <w:rPr>
                <w:sz w:val="18"/>
                <w:szCs w:val="18"/>
              </w:rPr>
              <w:t xml:space="preserve">Alternative participation modes are meaningful.                       </w:t>
            </w:r>
          </w:p>
        </w:tc>
        <w:tc>
          <w:tcPr>
            <w:tcW w:w="3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E7DD2" w14:textId="2E2064E5" w:rsidR="0058424E" w:rsidRDefault="002119FA">
            <w:pPr>
              <w:spacing w:line="240" w:lineRule="auto"/>
              <w:rPr>
                <w:sz w:val="18"/>
                <w:szCs w:val="18"/>
              </w:rPr>
            </w:pPr>
            <w:r>
              <w:rPr>
                <w:sz w:val="18"/>
                <w:szCs w:val="18"/>
              </w:rPr>
              <w:t>Meaningful choice means that learners may select how they participate from options that fit their needs. All options provide content and activities that are fundamental to meeting the learning outcomes. The options truly engage those participating.</w:t>
            </w:r>
            <w:r w:rsidR="00AE6A5D">
              <w:rPr>
                <w:sz w:val="18"/>
                <w:szCs w:val="18"/>
              </w:rPr>
              <w:t xml:space="preserve"> </w:t>
            </w:r>
            <w:r w:rsidR="00AE6A5D" w:rsidRPr="00AE6A5D">
              <w:rPr>
                <w:sz w:val="18"/>
                <w:szCs w:val="18"/>
                <w:highlight w:val="yellow"/>
              </w:rPr>
              <w:t>(Whether the student is asynchronous, or synchronous in person, or synchronous in Zoom)</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DA818"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17569383"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6F65C68E"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2E7F17BE"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EAC10" w14:textId="77777777" w:rsidR="0058424E" w:rsidRDefault="002119FA">
            <w:pPr>
              <w:spacing w:line="240" w:lineRule="auto"/>
              <w:rPr>
                <w:sz w:val="18"/>
                <w:szCs w:val="18"/>
              </w:rPr>
            </w:pPr>
            <w:r>
              <w:rPr>
                <w:sz w:val="18"/>
                <w:szCs w:val="18"/>
              </w:rPr>
              <w:t xml:space="preserve"> </w:t>
            </w:r>
          </w:p>
        </w:tc>
      </w:tr>
      <w:tr w:rsidR="0058424E" w14:paraId="37AF4C3E" w14:textId="77777777">
        <w:trPr>
          <w:trHeight w:val="254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04B05" w14:textId="77777777" w:rsidR="0058424E" w:rsidRDefault="002119FA">
            <w:pPr>
              <w:spacing w:line="240" w:lineRule="auto"/>
              <w:rPr>
                <w:sz w:val="18"/>
                <w:szCs w:val="18"/>
              </w:rPr>
            </w:pPr>
            <w:r>
              <w:rPr>
                <w:sz w:val="18"/>
                <w:szCs w:val="18"/>
              </w:rPr>
              <w:lastRenderedPageBreak/>
              <w:t>Learners can evaluate their readiness for each of the delivery methods.</w:t>
            </w:r>
          </w:p>
          <w:p w14:paraId="77BAC40C" w14:textId="77777777" w:rsidR="0058424E" w:rsidRDefault="002119FA">
            <w:pPr>
              <w:spacing w:line="240" w:lineRule="auto"/>
              <w:rPr>
                <w:sz w:val="18"/>
                <w:szCs w:val="18"/>
              </w:rPr>
            </w:pPr>
            <w:r>
              <w:rPr>
                <w:sz w:val="18"/>
                <w:szCs w:val="18"/>
              </w:rPr>
              <w:t xml:space="preserve"> </w:t>
            </w:r>
          </w:p>
        </w:tc>
        <w:tc>
          <w:tcPr>
            <w:tcW w:w="3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78B12" w14:textId="77777777" w:rsidR="0058424E" w:rsidRDefault="002119FA">
            <w:pPr>
              <w:spacing w:line="240" w:lineRule="auto"/>
              <w:rPr>
                <w:color w:val="212529"/>
                <w:sz w:val="18"/>
                <w:szCs w:val="18"/>
                <w:highlight w:val="white"/>
              </w:rPr>
            </w:pPr>
            <w:r>
              <w:rPr>
                <w:sz w:val="18"/>
                <w:szCs w:val="18"/>
              </w:rPr>
              <w:t xml:space="preserve">Information is provided to learners to help them select the best for participation mode for them. For example, a decision tree or similar resource is provided to learners. Or a </w:t>
            </w:r>
            <w:proofErr w:type="spellStart"/>
            <w:r>
              <w:rPr>
                <w:sz w:val="18"/>
                <w:szCs w:val="18"/>
              </w:rPr>
              <w:t>HyFlex</w:t>
            </w:r>
            <w:proofErr w:type="spellEnd"/>
            <w:r>
              <w:rPr>
                <w:sz w:val="18"/>
                <w:szCs w:val="18"/>
              </w:rPr>
              <w:t xml:space="preserve"> promotional video explains the institutional definition of </w:t>
            </w:r>
            <w:proofErr w:type="spellStart"/>
            <w:r>
              <w:rPr>
                <w:sz w:val="18"/>
                <w:szCs w:val="18"/>
              </w:rPr>
              <w:t>HyFlex</w:t>
            </w:r>
            <w:proofErr w:type="spellEnd"/>
            <w:r>
              <w:rPr>
                <w:sz w:val="18"/>
                <w:szCs w:val="18"/>
              </w:rPr>
              <w:t>. The instructor includes in a definition and explanation</w:t>
            </w:r>
            <w:r>
              <w:rPr>
                <w:color w:val="212529"/>
                <w:sz w:val="18"/>
                <w:szCs w:val="18"/>
              </w:rPr>
              <w:t xml:space="preserve"> of the </w:t>
            </w:r>
            <w:proofErr w:type="spellStart"/>
            <w:r>
              <w:rPr>
                <w:color w:val="212529"/>
                <w:sz w:val="18"/>
                <w:szCs w:val="18"/>
              </w:rPr>
              <w:t>HyFlex</w:t>
            </w:r>
            <w:proofErr w:type="spellEnd"/>
            <w:r>
              <w:rPr>
                <w:color w:val="212529"/>
                <w:sz w:val="18"/>
                <w:szCs w:val="18"/>
              </w:rPr>
              <w:t xml:space="preserve"> participation options</w:t>
            </w:r>
            <w:r>
              <w:rPr>
                <w:color w:val="212529"/>
                <w:sz w:val="18"/>
                <w:szCs w:val="18"/>
                <w:highlight w:val="white"/>
              </w:rPr>
              <w:t xml:space="preserve"> and course expectations in the syllabus and in other appropriate areas.</w:t>
            </w:r>
          </w:p>
          <w:p w14:paraId="52FFFA44" w14:textId="24CD4F01" w:rsidR="00AE6A5D" w:rsidRDefault="00AE6A5D">
            <w:pPr>
              <w:spacing w:line="240" w:lineRule="auto"/>
              <w:rPr>
                <w:color w:val="212529"/>
                <w:sz w:val="18"/>
                <w:szCs w:val="18"/>
                <w:highlight w:val="white"/>
              </w:rPr>
            </w:pPr>
            <w:r w:rsidRPr="00AE6A5D">
              <w:rPr>
                <w:color w:val="212529"/>
                <w:sz w:val="18"/>
                <w:szCs w:val="18"/>
                <w:highlight w:val="yellow"/>
              </w:rPr>
              <w:t>The expectations for each modality are clear.</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0F0EC"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0D976EFF"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0589D746"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14145978"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91D8B" w14:textId="77777777" w:rsidR="0058424E" w:rsidRDefault="002119FA">
            <w:pPr>
              <w:spacing w:line="240" w:lineRule="auto"/>
              <w:rPr>
                <w:sz w:val="18"/>
                <w:szCs w:val="18"/>
              </w:rPr>
            </w:pPr>
            <w:r>
              <w:rPr>
                <w:sz w:val="18"/>
                <w:szCs w:val="18"/>
              </w:rPr>
              <w:t xml:space="preserve"> </w:t>
            </w:r>
          </w:p>
        </w:tc>
      </w:tr>
      <w:tr w:rsidR="0058424E" w14:paraId="2594A7DF" w14:textId="77777777">
        <w:trPr>
          <w:trHeight w:val="194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CABFB" w14:textId="77777777" w:rsidR="0058424E" w:rsidRDefault="002119FA">
            <w:pPr>
              <w:spacing w:line="240" w:lineRule="auto"/>
              <w:rPr>
                <w:color w:val="212529"/>
                <w:sz w:val="18"/>
                <w:szCs w:val="18"/>
              </w:rPr>
            </w:pPr>
            <w:r>
              <w:rPr>
                <w:sz w:val="18"/>
                <w:szCs w:val="18"/>
              </w:rPr>
              <w:t xml:space="preserve"> </w:t>
            </w:r>
            <w:r w:rsidRPr="002119FA">
              <w:rPr>
                <w:color w:val="212529"/>
                <w:sz w:val="18"/>
                <w:szCs w:val="18"/>
                <w:highlight w:val="cyan"/>
              </w:rPr>
              <w:t>Administrative systems</w:t>
            </w:r>
            <w:r w:rsidRPr="002119FA">
              <w:rPr>
                <w:color w:val="FF0000"/>
                <w:sz w:val="18"/>
                <w:szCs w:val="18"/>
                <w:highlight w:val="cyan"/>
              </w:rPr>
              <w:t xml:space="preserve"> </w:t>
            </w:r>
            <w:r w:rsidRPr="002119FA">
              <w:rPr>
                <w:color w:val="212529"/>
                <w:sz w:val="18"/>
                <w:szCs w:val="18"/>
                <w:highlight w:val="cyan"/>
              </w:rPr>
              <w:t>accommodate flexible student scheduling.</w:t>
            </w:r>
          </w:p>
        </w:tc>
        <w:tc>
          <w:tcPr>
            <w:tcW w:w="3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EA4A3" w14:textId="77777777" w:rsidR="0058424E" w:rsidRDefault="002119FA">
            <w:pPr>
              <w:spacing w:line="240" w:lineRule="auto"/>
              <w:rPr>
                <w:color w:val="212529"/>
                <w:sz w:val="18"/>
                <w:szCs w:val="18"/>
                <w:highlight w:val="white"/>
              </w:rPr>
            </w:pPr>
            <w:r>
              <w:rPr>
                <w:color w:val="212529"/>
                <w:sz w:val="18"/>
                <w:szCs w:val="18"/>
                <w:highlight w:val="white"/>
              </w:rPr>
              <w:t xml:space="preserve">Administrative and design systems support clear and uniform understanding of </w:t>
            </w:r>
            <w:proofErr w:type="spellStart"/>
            <w:r>
              <w:rPr>
                <w:color w:val="212529"/>
                <w:sz w:val="18"/>
                <w:szCs w:val="18"/>
                <w:highlight w:val="white"/>
              </w:rPr>
              <w:t>HyFlex</w:t>
            </w:r>
            <w:proofErr w:type="spellEnd"/>
            <w:r>
              <w:rPr>
                <w:color w:val="212529"/>
                <w:sz w:val="18"/>
                <w:szCs w:val="18"/>
                <w:highlight w:val="white"/>
              </w:rPr>
              <w:t>.</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EBCA1"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7B476E43"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7E5DF141"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74FD409F"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51743" w14:textId="77777777" w:rsidR="0058424E" w:rsidRDefault="002119FA">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27A36CA" w14:textId="77777777" w:rsidR="0058424E" w:rsidRDefault="002119FA">
            <w:pPr>
              <w:spacing w:line="240" w:lineRule="auto"/>
              <w:rPr>
                <w:sz w:val="18"/>
                <w:szCs w:val="18"/>
              </w:rPr>
            </w:pPr>
            <w:r>
              <w:rPr>
                <w:sz w:val="18"/>
                <w:szCs w:val="18"/>
              </w:rPr>
              <w:t xml:space="preserve"> </w:t>
            </w:r>
          </w:p>
        </w:tc>
      </w:tr>
      <w:tr w:rsidR="0058424E" w14:paraId="2D654D69" w14:textId="77777777">
        <w:trPr>
          <w:trHeight w:val="198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8CA3D" w14:textId="77777777" w:rsidR="0058424E" w:rsidRDefault="002119FA">
            <w:pPr>
              <w:spacing w:line="240" w:lineRule="auto"/>
              <w:rPr>
                <w:color w:val="212529"/>
                <w:sz w:val="18"/>
                <w:szCs w:val="18"/>
              </w:rPr>
            </w:pPr>
            <w:r>
              <w:rPr>
                <w:sz w:val="18"/>
                <w:szCs w:val="18"/>
              </w:rPr>
              <w:t xml:space="preserve"> </w:t>
            </w:r>
            <w:r w:rsidRPr="002119FA">
              <w:rPr>
                <w:color w:val="212529"/>
                <w:sz w:val="18"/>
                <w:szCs w:val="18"/>
                <w:highlight w:val="cyan"/>
              </w:rPr>
              <w:t xml:space="preserve">A faculty </w:t>
            </w:r>
            <w:proofErr w:type="spellStart"/>
            <w:r w:rsidRPr="002119FA">
              <w:rPr>
                <w:color w:val="212529"/>
                <w:sz w:val="18"/>
                <w:szCs w:val="18"/>
                <w:highlight w:val="cyan"/>
              </w:rPr>
              <w:t>HyFlex</w:t>
            </w:r>
            <w:proofErr w:type="spellEnd"/>
            <w:r w:rsidRPr="002119FA">
              <w:rPr>
                <w:color w:val="212529"/>
                <w:sz w:val="18"/>
                <w:szCs w:val="18"/>
                <w:highlight w:val="cyan"/>
              </w:rPr>
              <w:t xml:space="preserve"> course design and delivery FAQ resource is maintained.</w:t>
            </w:r>
          </w:p>
        </w:tc>
        <w:tc>
          <w:tcPr>
            <w:tcW w:w="3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367CB" w14:textId="77777777" w:rsidR="0058424E" w:rsidRDefault="002119FA">
            <w:pPr>
              <w:spacing w:line="240" w:lineRule="auto"/>
              <w:rPr>
                <w:color w:val="212529"/>
                <w:sz w:val="18"/>
                <w:szCs w:val="18"/>
              </w:rPr>
            </w:pPr>
            <w:r>
              <w:rPr>
                <w:color w:val="212529"/>
                <w:sz w:val="18"/>
                <w:szCs w:val="18"/>
                <w:highlight w:val="white"/>
              </w:rPr>
              <w:t xml:space="preserve">Administrative and design systems support clear and uniform understanding of </w:t>
            </w:r>
            <w:proofErr w:type="spellStart"/>
            <w:r>
              <w:rPr>
                <w:color w:val="212529"/>
                <w:sz w:val="18"/>
                <w:szCs w:val="18"/>
                <w:highlight w:val="white"/>
              </w:rPr>
              <w:t>HyFlex</w:t>
            </w:r>
            <w:proofErr w:type="spellEnd"/>
            <w:r>
              <w:rPr>
                <w:color w:val="212529"/>
                <w:sz w:val="18"/>
                <w:szCs w:val="18"/>
                <w:highlight w:val="white"/>
              </w:rPr>
              <w:t xml:space="preserve">. </w:t>
            </w:r>
            <w:r>
              <w:rPr>
                <w:color w:val="212529"/>
                <w:sz w:val="18"/>
                <w:szCs w:val="18"/>
              </w:rPr>
              <w:t>Instructor requisite skills for using technology tools (websites, software, and hardware) are clearly stated.</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1A439"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1FE5F181"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536EB0B0"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587D2D12"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70346" w14:textId="77777777" w:rsidR="0058424E" w:rsidRDefault="002119FA">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3A85784F" w14:textId="77777777" w:rsidR="0058424E" w:rsidRDefault="002119FA">
            <w:pPr>
              <w:spacing w:line="240" w:lineRule="auto"/>
              <w:rPr>
                <w:sz w:val="18"/>
                <w:szCs w:val="18"/>
              </w:rPr>
            </w:pPr>
            <w:r>
              <w:rPr>
                <w:sz w:val="18"/>
                <w:szCs w:val="18"/>
              </w:rPr>
              <w:t xml:space="preserve"> </w:t>
            </w:r>
          </w:p>
        </w:tc>
      </w:tr>
    </w:tbl>
    <w:p w14:paraId="22577F67" w14:textId="77777777" w:rsidR="0058424E" w:rsidRDefault="0058424E">
      <w:pPr>
        <w:rPr>
          <w:rFonts w:ascii="Calibri" w:eastAsia="Calibri" w:hAnsi="Calibri" w:cs="Calibri"/>
          <w:sz w:val="24"/>
          <w:szCs w:val="24"/>
        </w:rPr>
      </w:pPr>
    </w:p>
    <w:p w14:paraId="11BF461F" w14:textId="77777777" w:rsidR="0058424E" w:rsidRDefault="0058424E">
      <w:pPr>
        <w:rPr>
          <w:rFonts w:ascii="Calibri" w:eastAsia="Calibri" w:hAnsi="Calibri" w:cs="Calibri"/>
          <w:sz w:val="24"/>
          <w:szCs w:val="24"/>
        </w:rPr>
      </w:pPr>
    </w:p>
    <w:tbl>
      <w:tblPr>
        <w:tblStyle w:val="a1"/>
        <w:tblW w:w="12630" w:type="dxa"/>
        <w:tblBorders>
          <w:top w:val="nil"/>
          <w:left w:val="nil"/>
          <w:bottom w:val="nil"/>
          <w:right w:val="nil"/>
          <w:insideH w:val="nil"/>
          <w:insideV w:val="nil"/>
        </w:tblBorders>
        <w:tblLayout w:type="fixed"/>
        <w:tblLook w:val="0600" w:firstRow="0" w:lastRow="0" w:firstColumn="0" w:lastColumn="0" w:noHBand="1" w:noVBand="1"/>
      </w:tblPr>
      <w:tblGrid>
        <w:gridCol w:w="2730"/>
        <w:gridCol w:w="3510"/>
        <w:gridCol w:w="3000"/>
        <w:gridCol w:w="3390"/>
      </w:tblGrid>
      <w:tr w:rsidR="0058424E" w14:paraId="429C9EE1" w14:textId="77777777">
        <w:trPr>
          <w:trHeight w:val="455"/>
        </w:trPr>
        <w:tc>
          <w:tcPr>
            <w:tcW w:w="273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1F1D379" w14:textId="77777777" w:rsidR="0058424E" w:rsidRDefault="002119FA">
            <w:pPr>
              <w:rPr>
                <w:sz w:val="20"/>
                <w:szCs w:val="20"/>
              </w:rPr>
            </w:pPr>
            <w:r>
              <w:rPr>
                <w:sz w:val="20"/>
                <w:szCs w:val="20"/>
              </w:rPr>
              <w:t>Metric</w:t>
            </w:r>
          </w:p>
        </w:tc>
        <w:tc>
          <w:tcPr>
            <w:tcW w:w="351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654ABC58" w14:textId="77777777" w:rsidR="0058424E" w:rsidRDefault="002119FA">
            <w:pPr>
              <w:rPr>
                <w:sz w:val="20"/>
                <w:szCs w:val="20"/>
              </w:rPr>
            </w:pPr>
            <w:r>
              <w:rPr>
                <w:sz w:val="20"/>
                <w:szCs w:val="20"/>
              </w:rPr>
              <w:t>Description</w:t>
            </w:r>
          </w:p>
        </w:tc>
        <w:tc>
          <w:tcPr>
            <w:tcW w:w="300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7F2871AD" w14:textId="77777777" w:rsidR="0058424E" w:rsidRDefault="002119FA">
            <w:pPr>
              <w:rPr>
                <w:sz w:val="20"/>
                <w:szCs w:val="20"/>
              </w:rPr>
            </w:pPr>
            <w:r>
              <w:rPr>
                <w:sz w:val="20"/>
                <w:szCs w:val="20"/>
              </w:rPr>
              <w:t>Revision Status</w:t>
            </w:r>
          </w:p>
        </w:tc>
        <w:tc>
          <w:tcPr>
            <w:tcW w:w="339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4D9E07C3" w14:textId="77777777" w:rsidR="0058424E" w:rsidRDefault="002119FA">
            <w:pPr>
              <w:rPr>
                <w:sz w:val="20"/>
                <w:szCs w:val="20"/>
              </w:rPr>
            </w:pPr>
            <w:r>
              <w:rPr>
                <w:sz w:val="20"/>
                <w:szCs w:val="20"/>
              </w:rPr>
              <w:t>Action Plan &amp; Comments</w:t>
            </w:r>
          </w:p>
        </w:tc>
      </w:tr>
      <w:tr w:rsidR="0058424E" w14:paraId="505E0181" w14:textId="77777777">
        <w:trPr>
          <w:trHeight w:val="1895"/>
        </w:trPr>
        <w:tc>
          <w:tcPr>
            <w:tcW w:w="27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7EBD1" w14:textId="77777777" w:rsidR="0058424E" w:rsidRDefault="002119FA">
            <w:pPr>
              <w:spacing w:line="240" w:lineRule="auto"/>
              <w:rPr>
                <w:color w:val="212529"/>
                <w:sz w:val="18"/>
                <w:szCs w:val="18"/>
              </w:rPr>
            </w:pPr>
            <w:r>
              <w:rPr>
                <w:sz w:val="18"/>
                <w:szCs w:val="18"/>
              </w:rPr>
              <w:lastRenderedPageBreak/>
              <w:t xml:space="preserve"> </w:t>
            </w:r>
            <w:r w:rsidRPr="00394BBE">
              <w:rPr>
                <w:color w:val="212529"/>
                <w:sz w:val="18"/>
                <w:szCs w:val="18"/>
                <w:highlight w:val="cyan"/>
              </w:rPr>
              <w:t xml:space="preserve">A learner </w:t>
            </w:r>
            <w:proofErr w:type="spellStart"/>
            <w:r w:rsidRPr="00394BBE">
              <w:rPr>
                <w:color w:val="212529"/>
                <w:sz w:val="18"/>
                <w:szCs w:val="18"/>
                <w:highlight w:val="cyan"/>
              </w:rPr>
              <w:t>HyFlex</w:t>
            </w:r>
            <w:proofErr w:type="spellEnd"/>
            <w:r w:rsidRPr="00394BBE">
              <w:rPr>
                <w:color w:val="212529"/>
                <w:sz w:val="18"/>
                <w:szCs w:val="18"/>
                <w:highlight w:val="cyan"/>
              </w:rPr>
              <w:t xml:space="preserve"> course design and delivery FAQ resource is maintained.</w:t>
            </w:r>
            <w:r>
              <w:rPr>
                <w:color w:val="212529"/>
                <w:sz w:val="18"/>
                <w:szCs w:val="18"/>
              </w:rPr>
              <w:t xml:space="preserve">  </w:t>
            </w:r>
          </w:p>
          <w:p w14:paraId="326E6EBE" w14:textId="77777777" w:rsidR="0058424E" w:rsidRDefault="002119FA">
            <w:pPr>
              <w:spacing w:line="240" w:lineRule="auto"/>
              <w:rPr>
                <w:color w:val="212529"/>
                <w:sz w:val="18"/>
                <w:szCs w:val="18"/>
              </w:rPr>
            </w:pPr>
            <w:r>
              <w:rPr>
                <w:color w:val="212529"/>
                <w:sz w:val="18"/>
                <w:szCs w:val="18"/>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CD5BD" w14:textId="77777777" w:rsidR="0058424E" w:rsidRDefault="002119FA">
            <w:pPr>
              <w:spacing w:line="240" w:lineRule="auto"/>
              <w:rPr>
                <w:color w:val="212529"/>
                <w:sz w:val="18"/>
                <w:szCs w:val="18"/>
              </w:rPr>
            </w:pPr>
            <w:r>
              <w:rPr>
                <w:color w:val="212529"/>
                <w:sz w:val="18"/>
                <w:szCs w:val="18"/>
                <w:highlight w:val="white"/>
              </w:rPr>
              <w:t xml:space="preserve">Administrative and design systems support clear and uniform understanding of </w:t>
            </w:r>
            <w:proofErr w:type="spellStart"/>
            <w:r>
              <w:rPr>
                <w:color w:val="212529"/>
                <w:sz w:val="18"/>
                <w:szCs w:val="18"/>
                <w:highlight w:val="white"/>
              </w:rPr>
              <w:t>HyFlex</w:t>
            </w:r>
            <w:proofErr w:type="spellEnd"/>
            <w:r>
              <w:rPr>
                <w:color w:val="212529"/>
                <w:sz w:val="18"/>
                <w:szCs w:val="18"/>
                <w:highlight w:val="white"/>
              </w:rPr>
              <w:t xml:space="preserve">. </w:t>
            </w:r>
            <w:r>
              <w:rPr>
                <w:color w:val="212529"/>
                <w:sz w:val="18"/>
                <w:szCs w:val="18"/>
              </w:rPr>
              <w:t>Learner requisite skills for using technology tools (websites, software, and hardware) are clearly stated.</w:t>
            </w:r>
          </w:p>
          <w:p w14:paraId="519B433E" w14:textId="17884236" w:rsidR="00394BBE" w:rsidRDefault="00394BBE">
            <w:pPr>
              <w:spacing w:line="240" w:lineRule="auto"/>
              <w:rPr>
                <w:color w:val="212529"/>
                <w:sz w:val="18"/>
                <w:szCs w:val="18"/>
              </w:rPr>
            </w:pPr>
            <w:r w:rsidRPr="00394BBE">
              <w:rPr>
                <w:color w:val="212529"/>
                <w:sz w:val="18"/>
                <w:szCs w:val="18"/>
                <w:highlight w:val="yellow"/>
              </w:rPr>
              <w:t>With the addition of course specific FAQ resources</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F81A8"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6CCDE597"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31EDD0B6"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0B6C9D87"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3FB7D" w14:textId="77777777" w:rsidR="0058424E" w:rsidRDefault="0058424E">
            <w:pPr>
              <w:spacing w:line="240" w:lineRule="auto"/>
              <w:rPr>
                <w:rFonts w:ascii="Calibri" w:eastAsia="Calibri" w:hAnsi="Calibri" w:cs="Calibri"/>
                <w:sz w:val="24"/>
                <w:szCs w:val="24"/>
              </w:rPr>
            </w:pPr>
          </w:p>
          <w:p w14:paraId="2533D423" w14:textId="77777777" w:rsidR="0058424E" w:rsidRDefault="002119FA">
            <w:pPr>
              <w:spacing w:line="240" w:lineRule="auto"/>
              <w:rPr>
                <w:sz w:val="18"/>
                <w:szCs w:val="18"/>
              </w:rPr>
            </w:pPr>
            <w:r>
              <w:rPr>
                <w:sz w:val="18"/>
                <w:szCs w:val="18"/>
              </w:rPr>
              <w:t xml:space="preserve"> </w:t>
            </w:r>
          </w:p>
        </w:tc>
      </w:tr>
      <w:tr w:rsidR="0058424E" w14:paraId="7D747BD5" w14:textId="77777777">
        <w:trPr>
          <w:trHeight w:val="540"/>
        </w:trPr>
        <w:tc>
          <w:tcPr>
            <w:tcW w:w="12630" w:type="dxa"/>
            <w:gridSpan w:val="4"/>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416C93F2" w14:textId="77777777" w:rsidR="0058424E" w:rsidRDefault="002119FA">
            <w:pPr>
              <w:rPr>
                <w:color w:val="FFFFFF"/>
                <w:sz w:val="20"/>
                <w:szCs w:val="20"/>
              </w:rPr>
            </w:pPr>
            <w:r>
              <w:rPr>
                <w:color w:val="FFFFFF"/>
                <w:sz w:val="20"/>
                <w:szCs w:val="20"/>
              </w:rPr>
              <w:t>EQUIVALENCY (Maximum Points: 16)</w:t>
            </w:r>
          </w:p>
        </w:tc>
      </w:tr>
      <w:tr w:rsidR="0058424E" w14:paraId="19F037E9" w14:textId="77777777">
        <w:trPr>
          <w:trHeight w:val="455"/>
        </w:trPr>
        <w:tc>
          <w:tcPr>
            <w:tcW w:w="2730"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8BFA12C" w14:textId="77777777" w:rsidR="0058424E" w:rsidRDefault="002119FA">
            <w:pPr>
              <w:rPr>
                <w:sz w:val="20"/>
                <w:szCs w:val="20"/>
              </w:rPr>
            </w:pPr>
            <w:r>
              <w:rPr>
                <w:sz w:val="20"/>
                <w:szCs w:val="20"/>
              </w:rPr>
              <w:t>Metric</w:t>
            </w:r>
          </w:p>
        </w:tc>
        <w:tc>
          <w:tcPr>
            <w:tcW w:w="351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6A970C7E" w14:textId="77777777" w:rsidR="0058424E" w:rsidRDefault="002119FA">
            <w:pPr>
              <w:rPr>
                <w:sz w:val="20"/>
                <w:szCs w:val="20"/>
              </w:rPr>
            </w:pPr>
            <w:r>
              <w:rPr>
                <w:sz w:val="20"/>
                <w:szCs w:val="20"/>
              </w:rPr>
              <w:t>Description</w:t>
            </w:r>
          </w:p>
        </w:tc>
        <w:tc>
          <w:tcPr>
            <w:tcW w:w="300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3FC73330" w14:textId="77777777" w:rsidR="0058424E" w:rsidRDefault="002119FA">
            <w:pPr>
              <w:rPr>
                <w:sz w:val="20"/>
                <w:szCs w:val="20"/>
              </w:rPr>
            </w:pPr>
            <w:r>
              <w:rPr>
                <w:sz w:val="20"/>
                <w:szCs w:val="20"/>
              </w:rPr>
              <w:t>Revision Status</w:t>
            </w:r>
          </w:p>
        </w:tc>
        <w:tc>
          <w:tcPr>
            <w:tcW w:w="339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5803841D" w14:textId="77777777" w:rsidR="0058424E" w:rsidRDefault="002119FA">
            <w:pPr>
              <w:rPr>
                <w:sz w:val="20"/>
                <w:szCs w:val="20"/>
              </w:rPr>
            </w:pPr>
            <w:r>
              <w:rPr>
                <w:sz w:val="20"/>
                <w:szCs w:val="20"/>
              </w:rPr>
              <w:t>Action Plan &amp; Comments</w:t>
            </w:r>
          </w:p>
        </w:tc>
      </w:tr>
      <w:tr w:rsidR="0058424E" w14:paraId="1ABDF37E" w14:textId="77777777">
        <w:trPr>
          <w:trHeight w:val="1865"/>
        </w:trPr>
        <w:tc>
          <w:tcPr>
            <w:tcW w:w="27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DA449" w14:textId="77777777" w:rsidR="0058424E" w:rsidRDefault="002119FA">
            <w:pPr>
              <w:spacing w:line="240" w:lineRule="auto"/>
              <w:rPr>
                <w:sz w:val="18"/>
                <w:szCs w:val="18"/>
              </w:rPr>
            </w:pPr>
            <w:r>
              <w:rPr>
                <w:sz w:val="18"/>
                <w:szCs w:val="18"/>
              </w:rPr>
              <w:t>Equitable learning experiences lead to the same learning outcomes.</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B458AA" w14:textId="77777777" w:rsidR="0058424E" w:rsidRDefault="002119FA">
            <w:pPr>
              <w:spacing w:line="240" w:lineRule="auto"/>
              <w:rPr>
                <w:sz w:val="18"/>
                <w:szCs w:val="18"/>
              </w:rPr>
            </w:pPr>
            <w:r>
              <w:rPr>
                <w:sz w:val="18"/>
                <w:szCs w:val="18"/>
              </w:rPr>
              <w:t>Learning activities in all participation modes lead to meeting the same learning outcomes, though specific activities may be different in each mode - equitable but not necessarily equal.</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A4AED"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77D91F6A"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5F9723FC"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444C6BC3"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CF034A" w14:textId="77777777" w:rsidR="0058424E" w:rsidRDefault="002119FA">
            <w:pPr>
              <w:spacing w:line="240" w:lineRule="auto"/>
              <w:rPr>
                <w:sz w:val="18"/>
                <w:szCs w:val="18"/>
              </w:rPr>
            </w:pPr>
            <w:r>
              <w:rPr>
                <w:sz w:val="18"/>
                <w:szCs w:val="18"/>
              </w:rPr>
              <w:t xml:space="preserve"> </w:t>
            </w:r>
          </w:p>
        </w:tc>
      </w:tr>
      <w:tr w:rsidR="0058424E" w14:paraId="7A685A5B" w14:textId="77777777">
        <w:trPr>
          <w:trHeight w:val="1865"/>
        </w:trPr>
        <w:tc>
          <w:tcPr>
            <w:tcW w:w="27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2F8CD" w14:textId="77777777" w:rsidR="0058424E" w:rsidRDefault="002119FA">
            <w:pPr>
              <w:spacing w:line="240" w:lineRule="auto"/>
              <w:rPr>
                <w:color w:val="212529"/>
                <w:sz w:val="18"/>
                <w:szCs w:val="18"/>
                <w:highlight w:val="white"/>
              </w:rPr>
            </w:pPr>
            <w:r>
              <w:rPr>
                <w:color w:val="212529"/>
                <w:sz w:val="18"/>
                <w:szCs w:val="18"/>
                <w:highlight w:val="white"/>
              </w:rPr>
              <w:t>Course and activity design promotes ease of learner progression regardless of delivery mode.</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42974" w14:textId="77777777" w:rsidR="0058424E" w:rsidRDefault="002119FA">
            <w:pPr>
              <w:shd w:val="clear" w:color="auto" w:fill="FFFFFF"/>
              <w:spacing w:line="240" w:lineRule="auto"/>
              <w:rPr>
                <w:color w:val="212529"/>
                <w:sz w:val="18"/>
                <w:szCs w:val="18"/>
              </w:rPr>
            </w:pPr>
            <w:r>
              <w:rPr>
                <w:color w:val="212529"/>
                <w:sz w:val="18"/>
                <w:szCs w:val="18"/>
              </w:rPr>
              <w:t>Duration and due dates for assignments reflect time required to satisfactorily complete per delivery mode. Timing of assignment feedback is useful. Levels of interaction and engagement are equitable.</w:t>
            </w:r>
          </w:p>
          <w:p w14:paraId="327F83A6" w14:textId="6B527382" w:rsidR="006B2AA8" w:rsidRDefault="006B2AA8">
            <w:pPr>
              <w:shd w:val="clear" w:color="auto" w:fill="FFFFFF"/>
              <w:spacing w:line="240" w:lineRule="auto"/>
              <w:rPr>
                <w:color w:val="212529"/>
                <w:sz w:val="18"/>
                <w:szCs w:val="18"/>
              </w:rPr>
            </w:pPr>
            <w:r w:rsidRPr="006B2AA8">
              <w:rPr>
                <w:color w:val="212529"/>
                <w:sz w:val="18"/>
                <w:szCs w:val="18"/>
                <w:highlight w:val="yellow"/>
              </w:rPr>
              <w:t>Synchronous and asynchronous modules are aligned because learners may move between modalities week to week.</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A5377"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1890E61B"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09D8668A"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4DE26F9C"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08559" w14:textId="77777777" w:rsidR="0058424E" w:rsidRDefault="002119FA">
            <w:pPr>
              <w:spacing w:line="240" w:lineRule="auto"/>
              <w:rPr>
                <w:sz w:val="18"/>
                <w:szCs w:val="18"/>
              </w:rPr>
            </w:pPr>
            <w:r>
              <w:rPr>
                <w:sz w:val="18"/>
                <w:szCs w:val="18"/>
              </w:rPr>
              <w:t xml:space="preserve"> </w:t>
            </w:r>
          </w:p>
        </w:tc>
      </w:tr>
      <w:tr w:rsidR="0058424E" w14:paraId="681E4A4D" w14:textId="77777777">
        <w:trPr>
          <w:trHeight w:val="1865"/>
        </w:trPr>
        <w:tc>
          <w:tcPr>
            <w:tcW w:w="27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F49A7" w14:textId="77777777" w:rsidR="0058424E" w:rsidRDefault="002119FA">
            <w:pPr>
              <w:spacing w:line="240" w:lineRule="auto"/>
              <w:rPr>
                <w:color w:val="212529"/>
                <w:sz w:val="18"/>
                <w:szCs w:val="18"/>
                <w:highlight w:val="white"/>
              </w:rPr>
            </w:pPr>
            <w:r>
              <w:rPr>
                <w:color w:val="212529"/>
                <w:sz w:val="18"/>
                <w:szCs w:val="18"/>
                <w:highlight w:val="white"/>
              </w:rPr>
              <w:lastRenderedPageBreak/>
              <w:t>The instructor can provide a similar learning experience to learners</w:t>
            </w:r>
          </w:p>
          <w:p w14:paraId="32994823" w14:textId="77777777" w:rsidR="0058424E" w:rsidRDefault="002119FA">
            <w:pPr>
              <w:spacing w:line="240" w:lineRule="auto"/>
              <w:rPr>
                <w:color w:val="212529"/>
                <w:sz w:val="18"/>
                <w:szCs w:val="18"/>
                <w:highlight w:val="white"/>
              </w:rPr>
            </w:pPr>
            <w:r>
              <w:rPr>
                <w:color w:val="212529"/>
                <w:sz w:val="18"/>
                <w:szCs w:val="18"/>
                <w:highlight w:val="white"/>
              </w:rPr>
              <w:t>regardless of the path taken.</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13098" w14:textId="77777777" w:rsidR="0058424E" w:rsidRDefault="002119FA">
            <w:pPr>
              <w:spacing w:line="240" w:lineRule="auto"/>
              <w:rPr>
                <w:color w:val="212529"/>
                <w:sz w:val="18"/>
                <w:szCs w:val="18"/>
                <w:highlight w:val="white"/>
              </w:rPr>
            </w:pPr>
            <w:r>
              <w:rPr>
                <w:color w:val="212529"/>
                <w:sz w:val="18"/>
                <w:szCs w:val="18"/>
                <w:highlight w:val="white"/>
              </w:rPr>
              <w:t>Instructors must be able to effectively handle the complexity of teaching students in multiple modes at the same time.</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6214CE"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5FC4F7A7"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225DB330"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7FAFF307"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B5565" w14:textId="77777777" w:rsidR="0058424E" w:rsidRDefault="002119FA">
            <w:pPr>
              <w:spacing w:line="240" w:lineRule="auto"/>
              <w:rPr>
                <w:sz w:val="18"/>
                <w:szCs w:val="18"/>
              </w:rPr>
            </w:pPr>
            <w:r>
              <w:rPr>
                <w:sz w:val="18"/>
                <w:szCs w:val="18"/>
              </w:rPr>
              <w:t xml:space="preserve"> </w:t>
            </w:r>
          </w:p>
          <w:p w14:paraId="79D7D549" w14:textId="77777777" w:rsidR="0058424E" w:rsidRDefault="002119FA">
            <w:pPr>
              <w:spacing w:line="240" w:lineRule="auto"/>
              <w:rPr>
                <w:sz w:val="18"/>
                <w:szCs w:val="18"/>
              </w:rPr>
            </w:pPr>
            <w:r>
              <w:rPr>
                <w:sz w:val="18"/>
                <w:szCs w:val="18"/>
              </w:rPr>
              <w:t xml:space="preserve"> </w:t>
            </w:r>
          </w:p>
        </w:tc>
      </w:tr>
    </w:tbl>
    <w:p w14:paraId="6D1564AE" w14:textId="77777777" w:rsidR="0058424E" w:rsidRDefault="0058424E">
      <w:pPr>
        <w:rPr>
          <w:rFonts w:ascii="Calibri" w:eastAsia="Calibri" w:hAnsi="Calibri" w:cs="Calibri"/>
          <w:sz w:val="24"/>
          <w:szCs w:val="24"/>
        </w:rPr>
      </w:pPr>
    </w:p>
    <w:tbl>
      <w:tblPr>
        <w:tblStyle w:val="a2"/>
        <w:tblW w:w="12615" w:type="dxa"/>
        <w:tblBorders>
          <w:top w:val="nil"/>
          <w:left w:val="nil"/>
          <w:bottom w:val="nil"/>
          <w:right w:val="nil"/>
          <w:insideH w:val="nil"/>
          <w:insideV w:val="nil"/>
        </w:tblBorders>
        <w:tblLayout w:type="fixed"/>
        <w:tblLook w:val="0600" w:firstRow="0" w:lastRow="0" w:firstColumn="0" w:lastColumn="0" w:noHBand="1" w:noVBand="1"/>
      </w:tblPr>
      <w:tblGrid>
        <w:gridCol w:w="2580"/>
        <w:gridCol w:w="3660"/>
        <w:gridCol w:w="2940"/>
        <w:gridCol w:w="3435"/>
      </w:tblGrid>
      <w:tr w:rsidR="0058424E" w14:paraId="47DEA46D" w14:textId="77777777">
        <w:trPr>
          <w:trHeight w:val="455"/>
        </w:trPr>
        <w:tc>
          <w:tcPr>
            <w:tcW w:w="258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8C458F3" w14:textId="77777777" w:rsidR="0058424E" w:rsidRDefault="002119FA">
            <w:pPr>
              <w:rPr>
                <w:sz w:val="20"/>
                <w:szCs w:val="20"/>
              </w:rPr>
            </w:pPr>
            <w:r>
              <w:rPr>
                <w:sz w:val="20"/>
                <w:szCs w:val="20"/>
              </w:rPr>
              <w:t>Metric</w:t>
            </w:r>
          </w:p>
        </w:tc>
        <w:tc>
          <w:tcPr>
            <w:tcW w:w="366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4F95584A" w14:textId="77777777" w:rsidR="0058424E" w:rsidRDefault="002119FA">
            <w:pPr>
              <w:rPr>
                <w:sz w:val="20"/>
                <w:szCs w:val="20"/>
              </w:rPr>
            </w:pPr>
            <w:r>
              <w:rPr>
                <w:sz w:val="20"/>
                <w:szCs w:val="20"/>
              </w:rPr>
              <w:t>Description</w:t>
            </w:r>
          </w:p>
        </w:tc>
        <w:tc>
          <w:tcPr>
            <w:tcW w:w="294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2F68EBF2" w14:textId="77777777" w:rsidR="0058424E" w:rsidRDefault="002119FA">
            <w:pPr>
              <w:rPr>
                <w:sz w:val="20"/>
                <w:szCs w:val="20"/>
              </w:rPr>
            </w:pPr>
            <w:r>
              <w:rPr>
                <w:sz w:val="20"/>
                <w:szCs w:val="20"/>
              </w:rPr>
              <w:t>Revision Status</w:t>
            </w:r>
          </w:p>
        </w:tc>
        <w:tc>
          <w:tcPr>
            <w:tcW w:w="3435"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67306D51" w14:textId="77777777" w:rsidR="0058424E" w:rsidRDefault="002119FA">
            <w:pPr>
              <w:rPr>
                <w:sz w:val="20"/>
                <w:szCs w:val="20"/>
              </w:rPr>
            </w:pPr>
            <w:r>
              <w:rPr>
                <w:sz w:val="20"/>
                <w:szCs w:val="20"/>
              </w:rPr>
              <w:t>Action Plan &amp; Comments</w:t>
            </w:r>
          </w:p>
        </w:tc>
      </w:tr>
      <w:tr w:rsidR="0058424E" w14:paraId="6CAB2459" w14:textId="77777777">
        <w:trPr>
          <w:trHeight w:val="186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6C7EF" w14:textId="77777777" w:rsidR="0058424E" w:rsidRDefault="002119FA">
            <w:pPr>
              <w:spacing w:line="240" w:lineRule="auto"/>
              <w:rPr>
                <w:color w:val="212529"/>
                <w:sz w:val="18"/>
                <w:szCs w:val="18"/>
                <w:highlight w:val="white"/>
              </w:rPr>
            </w:pPr>
            <w:r>
              <w:rPr>
                <w:color w:val="212529"/>
                <w:sz w:val="18"/>
                <w:szCs w:val="18"/>
                <w:highlight w:val="white"/>
              </w:rPr>
              <w:t>Learners are invited to submit comments about the quality of the learning experience regardless of participation mode</w:t>
            </w:r>
            <w:r w:rsidRPr="00A35F3E">
              <w:rPr>
                <w:color w:val="212529"/>
                <w:sz w:val="18"/>
                <w:szCs w:val="18"/>
                <w:highlight w:val="yellow"/>
              </w:rPr>
              <w:t>. (More than the end of the semester)</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0E999" w14:textId="77777777" w:rsidR="0058424E" w:rsidRDefault="002119FA">
            <w:pPr>
              <w:spacing w:line="240" w:lineRule="auto"/>
              <w:rPr>
                <w:color w:val="212529"/>
                <w:sz w:val="18"/>
                <w:szCs w:val="18"/>
                <w:highlight w:val="white"/>
              </w:rPr>
            </w:pPr>
            <w:r>
              <w:rPr>
                <w:color w:val="212529"/>
                <w:sz w:val="18"/>
                <w:szCs w:val="18"/>
                <w:highlight w:val="white"/>
              </w:rPr>
              <w:t>Formative feedback is requested from all learners regardless of participation mode to ensure ongoing that all modalities provide an equitable learning experience.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E8141"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0AC15908"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36814726"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18933BF9"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077A7" w14:textId="77777777" w:rsidR="0058424E" w:rsidRDefault="002119FA">
            <w:pPr>
              <w:spacing w:line="240" w:lineRule="auto"/>
              <w:rPr>
                <w:sz w:val="18"/>
                <w:szCs w:val="18"/>
              </w:rPr>
            </w:pPr>
            <w:r>
              <w:rPr>
                <w:sz w:val="18"/>
                <w:szCs w:val="18"/>
              </w:rPr>
              <w:t xml:space="preserve"> </w:t>
            </w:r>
          </w:p>
        </w:tc>
      </w:tr>
      <w:tr w:rsidR="0058424E" w14:paraId="5FEEEF0A" w14:textId="77777777">
        <w:trPr>
          <w:trHeight w:val="495"/>
        </w:trPr>
        <w:tc>
          <w:tcPr>
            <w:tcW w:w="12615" w:type="dxa"/>
            <w:gridSpan w:val="4"/>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14:paraId="7C9E4CA2" w14:textId="77777777" w:rsidR="0058424E" w:rsidRDefault="002119FA">
            <w:pPr>
              <w:rPr>
                <w:sz w:val="20"/>
                <w:szCs w:val="20"/>
              </w:rPr>
            </w:pPr>
            <w:r>
              <w:rPr>
                <w:sz w:val="20"/>
                <w:szCs w:val="20"/>
              </w:rPr>
              <w:t>REUSABILITY (Maximum Points: 12)</w:t>
            </w:r>
          </w:p>
        </w:tc>
      </w:tr>
      <w:tr w:rsidR="0058424E" w14:paraId="20DDED26" w14:textId="77777777">
        <w:trPr>
          <w:trHeight w:val="455"/>
        </w:trPr>
        <w:tc>
          <w:tcPr>
            <w:tcW w:w="2580"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C554D23" w14:textId="77777777" w:rsidR="0058424E" w:rsidRDefault="002119FA">
            <w:pPr>
              <w:rPr>
                <w:sz w:val="20"/>
                <w:szCs w:val="20"/>
              </w:rPr>
            </w:pPr>
            <w:r>
              <w:rPr>
                <w:sz w:val="20"/>
                <w:szCs w:val="20"/>
              </w:rPr>
              <w:t>Metric</w:t>
            </w:r>
          </w:p>
        </w:tc>
        <w:tc>
          <w:tcPr>
            <w:tcW w:w="36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1F7D373F" w14:textId="77777777" w:rsidR="0058424E" w:rsidRDefault="002119FA">
            <w:pPr>
              <w:rPr>
                <w:sz w:val="20"/>
                <w:szCs w:val="20"/>
              </w:rPr>
            </w:pPr>
            <w:r>
              <w:rPr>
                <w:sz w:val="20"/>
                <w:szCs w:val="20"/>
              </w:rPr>
              <w:t>Description</w:t>
            </w:r>
          </w:p>
        </w:tc>
        <w:tc>
          <w:tcPr>
            <w:tcW w:w="294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1BD255C" w14:textId="77777777" w:rsidR="0058424E" w:rsidRDefault="002119FA">
            <w:pPr>
              <w:rPr>
                <w:sz w:val="20"/>
                <w:szCs w:val="20"/>
              </w:rPr>
            </w:pPr>
            <w:r>
              <w:rPr>
                <w:sz w:val="20"/>
                <w:szCs w:val="20"/>
              </w:rPr>
              <w:t>Revision Status</w:t>
            </w:r>
          </w:p>
        </w:tc>
        <w:tc>
          <w:tcPr>
            <w:tcW w:w="343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04EFA1C" w14:textId="77777777" w:rsidR="0058424E" w:rsidRDefault="002119FA">
            <w:pPr>
              <w:rPr>
                <w:sz w:val="20"/>
                <w:szCs w:val="20"/>
              </w:rPr>
            </w:pPr>
            <w:r>
              <w:rPr>
                <w:sz w:val="20"/>
                <w:szCs w:val="20"/>
              </w:rPr>
              <w:t>Action Plan &amp; Comments</w:t>
            </w:r>
          </w:p>
        </w:tc>
      </w:tr>
      <w:tr w:rsidR="0058424E" w14:paraId="6758A916" w14:textId="77777777">
        <w:trPr>
          <w:trHeight w:val="186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F90B6" w14:textId="77777777" w:rsidR="0058424E" w:rsidRDefault="002119FA">
            <w:pPr>
              <w:spacing w:line="240" w:lineRule="auto"/>
              <w:rPr>
                <w:sz w:val="18"/>
                <w:szCs w:val="18"/>
              </w:rPr>
            </w:pPr>
            <w:r>
              <w:rPr>
                <w:sz w:val="18"/>
                <w:szCs w:val="18"/>
              </w:rPr>
              <w:t xml:space="preserve">Learning activities in each mode often overlap with other modes, reusing learning resources, activities, and assessments for all learners when possible and practical. </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F8204" w14:textId="77777777" w:rsidR="0058424E" w:rsidRDefault="002119FA">
            <w:pPr>
              <w:spacing w:line="240" w:lineRule="auto"/>
              <w:rPr>
                <w:sz w:val="18"/>
                <w:szCs w:val="18"/>
              </w:rPr>
            </w:pPr>
            <w:r>
              <w:rPr>
                <w:sz w:val="18"/>
                <w:szCs w:val="18"/>
              </w:rPr>
              <w:t>Instructor content is used in more than one learning environment. Artifacts from learning activities in each participation mode are captured and can be reused in other mode.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B9C81"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01E004E4"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0A285468"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483AC864"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66E0D" w14:textId="77777777" w:rsidR="0058424E" w:rsidRDefault="002119FA">
            <w:pPr>
              <w:spacing w:line="240" w:lineRule="auto"/>
              <w:rPr>
                <w:sz w:val="18"/>
                <w:szCs w:val="18"/>
              </w:rPr>
            </w:pPr>
            <w:r>
              <w:rPr>
                <w:sz w:val="18"/>
                <w:szCs w:val="18"/>
              </w:rPr>
              <w:t xml:space="preserve"> </w:t>
            </w:r>
          </w:p>
        </w:tc>
      </w:tr>
      <w:tr w:rsidR="0058424E" w14:paraId="55511726" w14:textId="77777777">
        <w:trPr>
          <w:trHeight w:val="186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B8BF4" w14:textId="77777777" w:rsidR="0058424E" w:rsidRDefault="002119FA">
            <w:pPr>
              <w:spacing w:line="240" w:lineRule="auto"/>
              <w:rPr>
                <w:sz w:val="18"/>
                <w:szCs w:val="18"/>
              </w:rPr>
            </w:pPr>
            <w:r>
              <w:rPr>
                <w:sz w:val="18"/>
                <w:szCs w:val="18"/>
              </w:rPr>
              <w:lastRenderedPageBreak/>
              <w:t>Content, associated activities, and assessments are reasonably consistent across all modes.</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4FD1D" w14:textId="77777777" w:rsidR="0058424E" w:rsidRDefault="002119FA">
            <w:pPr>
              <w:spacing w:line="240" w:lineRule="auto"/>
              <w:rPr>
                <w:sz w:val="18"/>
                <w:szCs w:val="18"/>
              </w:rPr>
            </w:pPr>
            <w:r>
              <w:rPr>
                <w:sz w:val="18"/>
                <w:szCs w:val="18"/>
              </w:rPr>
              <w:t>Content, activities, and assessments are the same in each mode unless there is an important reason for differences.</w:t>
            </w:r>
          </w:p>
          <w:p w14:paraId="6E3F0378" w14:textId="77777777" w:rsidR="0058424E" w:rsidRDefault="002119FA">
            <w:pPr>
              <w:spacing w:line="240" w:lineRule="auto"/>
              <w:rPr>
                <w:color w:val="212529"/>
                <w:sz w:val="18"/>
                <w:szCs w:val="18"/>
                <w:highlight w:val="white"/>
              </w:rPr>
            </w:pPr>
            <w:r>
              <w:rPr>
                <w:color w:val="212529"/>
                <w:sz w:val="18"/>
                <w:szCs w:val="18"/>
                <w:highlight w:val="white"/>
              </w:rPr>
              <w:t xml:space="preserve"> </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50CCE"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5F78F833"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3ED6B3AB"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4DB76A42"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4363A" w14:textId="77777777" w:rsidR="0058424E" w:rsidRDefault="002119FA">
            <w:pPr>
              <w:spacing w:line="240" w:lineRule="auto"/>
              <w:rPr>
                <w:sz w:val="18"/>
                <w:szCs w:val="18"/>
              </w:rPr>
            </w:pPr>
            <w:r>
              <w:rPr>
                <w:sz w:val="18"/>
                <w:szCs w:val="18"/>
              </w:rPr>
              <w:t xml:space="preserve"> </w:t>
            </w:r>
          </w:p>
        </w:tc>
      </w:tr>
      <w:tr w:rsidR="0058424E" w14:paraId="09C22C87" w14:textId="77777777">
        <w:trPr>
          <w:trHeight w:val="186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202F8" w14:textId="77777777" w:rsidR="0058424E" w:rsidRDefault="002119FA">
            <w:pPr>
              <w:spacing w:line="240" w:lineRule="auto"/>
              <w:rPr>
                <w:sz w:val="18"/>
                <w:szCs w:val="18"/>
              </w:rPr>
            </w:pPr>
            <w:r>
              <w:rPr>
                <w:sz w:val="18"/>
                <w:szCs w:val="18"/>
              </w:rPr>
              <w:t>Learner engagement spans modes.</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8A8BB" w14:textId="77777777" w:rsidR="0058424E" w:rsidRDefault="002119FA">
            <w:pPr>
              <w:spacing w:line="240" w:lineRule="auto"/>
              <w:rPr>
                <w:sz w:val="18"/>
                <w:szCs w:val="18"/>
              </w:rPr>
            </w:pPr>
            <w:r>
              <w:rPr>
                <w:sz w:val="18"/>
                <w:szCs w:val="18"/>
              </w:rPr>
              <w:t>Activities are engaging and offer learners opportunity to engage across modes.</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DD017"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35C51178"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643C0008"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 xml:space="preserve">o </w:t>
            </w:r>
            <w:r>
              <w:rPr>
                <w:sz w:val="18"/>
                <w:szCs w:val="18"/>
              </w:rPr>
              <w:t>Major</w:t>
            </w:r>
            <w:r>
              <w:rPr>
                <w:sz w:val="34"/>
                <w:szCs w:val="34"/>
              </w:rPr>
              <w:t xml:space="preserve"> </w:t>
            </w:r>
            <w:r>
              <w:rPr>
                <w:rFonts w:ascii="Calibri" w:eastAsia="Calibri" w:hAnsi="Calibri" w:cs="Calibri"/>
                <w:sz w:val="34"/>
                <w:szCs w:val="34"/>
              </w:rPr>
              <w:t>o</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A3222" w14:textId="77777777" w:rsidR="0058424E" w:rsidRDefault="002119FA">
            <w:pPr>
              <w:spacing w:line="240" w:lineRule="auto"/>
              <w:rPr>
                <w:sz w:val="18"/>
                <w:szCs w:val="18"/>
              </w:rPr>
            </w:pPr>
            <w:r>
              <w:rPr>
                <w:sz w:val="18"/>
                <w:szCs w:val="18"/>
              </w:rPr>
              <w:t xml:space="preserve"> </w:t>
            </w:r>
          </w:p>
        </w:tc>
      </w:tr>
    </w:tbl>
    <w:p w14:paraId="7932F95A" w14:textId="77777777" w:rsidR="0058424E" w:rsidRDefault="0058424E">
      <w:pPr>
        <w:rPr>
          <w:rFonts w:ascii="Calibri" w:eastAsia="Calibri" w:hAnsi="Calibri" w:cs="Calibri"/>
          <w:sz w:val="24"/>
          <w:szCs w:val="24"/>
        </w:rPr>
      </w:pPr>
    </w:p>
    <w:tbl>
      <w:tblPr>
        <w:tblStyle w:val="a3"/>
        <w:tblW w:w="12615" w:type="dxa"/>
        <w:tblBorders>
          <w:top w:val="nil"/>
          <w:left w:val="nil"/>
          <w:bottom w:val="nil"/>
          <w:right w:val="nil"/>
          <w:insideH w:val="nil"/>
          <w:insideV w:val="nil"/>
        </w:tblBorders>
        <w:tblLayout w:type="fixed"/>
        <w:tblLook w:val="0600" w:firstRow="0" w:lastRow="0" w:firstColumn="0" w:lastColumn="0" w:noHBand="1" w:noVBand="1"/>
      </w:tblPr>
      <w:tblGrid>
        <w:gridCol w:w="2535"/>
        <w:gridCol w:w="3735"/>
        <w:gridCol w:w="2895"/>
        <w:gridCol w:w="3450"/>
      </w:tblGrid>
      <w:tr w:rsidR="0058424E" w14:paraId="1008C059" w14:textId="77777777">
        <w:trPr>
          <w:trHeight w:val="815"/>
        </w:trPr>
        <w:tc>
          <w:tcPr>
            <w:tcW w:w="12615" w:type="dxa"/>
            <w:gridSpan w:val="4"/>
            <w:tcBorders>
              <w:top w:val="single" w:sz="8" w:space="0" w:color="000000"/>
              <w:left w:val="single" w:sz="8" w:space="0" w:color="000000"/>
              <w:bottom w:val="single" w:sz="8" w:space="0" w:color="000000"/>
              <w:right w:val="single" w:sz="8" w:space="0" w:color="000000"/>
            </w:tcBorders>
            <w:shd w:val="clear" w:color="auto" w:fill="3597D7"/>
            <w:tcMar>
              <w:top w:w="100" w:type="dxa"/>
              <w:left w:w="100" w:type="dxa"/>
              <w:bottom w:w="100" w:type="dxa"/>
              <w:right w:w="100" w:type="dxa"/>
            </w:tcMar>
          </w:tcPr>
          <w:p w14:paraId="3394E862" w14:textId="77777777" w:rsidR="0058424E" w:rsidRDefault="002119FA">
            <w:pPr>
              <w:rPr>
                <w:rFonts w:ascii="Calibri" w:eastAsia="Calibri" w:hAnsi="Calibri" w:cs="Calibri"/>
                <w:sz w:val="21"/>
                <w:szCs w:val="21"/>
              </w:rPr>
            </w:pPr>
            <w:r>
              <w:rPr>
                <w:rFonts w:ascii="Calibri" w:eastAsia="Calibri" w:hAnsi="Calibri" w:cs="Calibri"/>
                <w:sz w:val="21"/>
                <w:szCs w:val="21"/>
              </w:rPr>
              <w:t xml:space="preserve"> </w:t>
            </w:r>
          </w:p>
          <w:p w14:paraId="72A3C6A6" w14:textId="77777777" w:rsidR="0058424E" w:rsidRDefault="002119FA">
            <w:pPr>
              <w:rPr>
                <w:color w:val="FFFFFF"/>
                <w:sz w:val="20"/>
                <w:szCs w:val="20"/>
              </w:rPr>
            </w:pPr>
            <w:r>
              <w:rPr>
                <w:color w:val="FFFFFF"/>
                <w:sz w:val="20"/>
                <w:szCs w:val="20"/>
              </w:rPr>
              <w:t>ACCESSIBILITY (Maximum Points: 32)</w:t>
            </w:r>
          </w:p>
        </w:tc>
      </w:tr>
      <w:tr w:rsidR="0058424E" w14:paraId="2548E4C7" w14:textId="77777777">
        <w:trPr>
          <w:trHeight w:val="455"/>
        </w:trPr>
        <w:tc>
          <w:tcPr>
            <w:tcW w:w="253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3AC7DB7E" w14:textId="77777777" w:rsidR="0058424E" w:rsidRDefault="002119FA">
            <w:pPr>
              <w:rPr>
                <w:sz w:val="20"/>
                <w:szCs w:val="20"/>
              </w:rPr>
            </w:pPr>
            <w:r>
              <w:rPr>
                <w:sz w:val="20"/>
                <w:szCs w:val="20"/>
              </w:rPr>
              <w:t>Metric</w:t>
            </w:r>
          </w:p>
        </w:tc>
        <w:tc>
          <w:tcPr>
            <w:tcW w:w="373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03C3D5A" w14:textId="77777777" w:rsidR="0058424E" w:rsidRDefault="002119FA">
            <w:pPr>
              <w:rPr>
                <w:sz w:val="20"/>
                <w:szCs w:val="20"/>
              </w:rPr>
            </w:pPr>
            <w:r>
              <w:rPr>
                <w:sz w:val="20"/>
                <w:szCs w:val="20"/>
              </w:rPr>
              <w:t>Description</w:t>
            </w:r>
          </w:p>
        </w:tc>
        <w:tc>
          <w:tcPr>
            <w:tcW w:w="289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420A7199" w14:textId="77777777" w:rsidR="0058424E" w:rsidRDefault="002119FA">
            <w:pPr>
              <w:rPr>
                <w:sz w:val="20"/>
                <w:szCs w:val="20"/>
              </w:rPr>
            </w:pPr>
            <w:r>
              <w:rPr>
                <w:sz w:val="20"/>
                <w:szCs w:val="20"/>
              </w:rPr>
              <w:t>Revision Status</w:t>
            </w:r>
          </w:p>
        </w:tc>
        <w:tc>
          <w:tcPr>
            <w:tcW w:w="34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5B4D47F" w14:textId="77777777" w:rsidR="0058424E" w:rsidRDefault="002119FA">
            <w:pPr>
              <w:rPr>
                <w:sz w:val="20"/>
                <w:szCs w:val="20"/>
              </w:rPr>
            </w:pPr>
            <w:r>
              <w:rPr>
                <w:sz w:val="20"/>
                <w:szCs w:val="20"/>
              </w:rPr>
              <w:t>Action Plan &amp; Comments</w:t>
            </w:r>
          </w:p>
        </w:tc>
      </w:tr>
      <w:tr w:rsidR="0058424E" w14:paraId="19B253EB"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D7B8F" w14:textId="77777777" w:rsidR="0058424E" w:rsidRDefault="002119FA">
            <w:pPr>
              <w:spacing w:line="240" w:lineRule="auto"/>
              <w:rPr>
                <w:sz w:val="18"/>
                <w:szCs w:val="18"/>
              </w:rPr>
            </w:pPr>
            <w:r>
              <w:rPr>
                <w:sz w:val="18"/>
                <w:szCs w:val="18"/>
              </w:rPr>
              <w:t>Module-level overviews are presented for ease of navigation.</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A11EB" w14:textId="77777777" w:rsidR="0058424E" w:rsidRDefault="002119FA">
            <w:pPr>
              <w:spacing w:line="240" w:lineRule="auto"/>
              <w:rPr>
                <w:color w:val="212529"/>
                <w:sz w:val="18"/>
                <w:szCs w:val="18"/>
                <w:highlight w:val="white"/>
              </w:rPr>
            </w:pPr>
            <w:r>
              <w:rPr>
                <w:color w:val="212529"/>
                <w:sz w:val="18"/>
                <w:szCs w:val="18"/>
                <w:highlight w:val="white"/>
              </w:rPr>
              <w:t>Module objectives, content, activities, and assessments are easy to locate and use. A logical, consistent, color-scheme, and uncluttered layout is employed.</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E0651"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27950FC5"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1C8ABC57"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1168278B"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1B7BA" w14:textId="77777777" w:rsidR="0058424E" w:rsidRDefault="002119FA">
            <w:pPr>
              <w:spacing w:line="240" w:lineRule="auto"/>
              <w:rPr>
                <w:sz w:val="18"/>
                <w:szCs w:val="18"/>
              </w:rPr>
            </w:pPr>
            <w:r>
              <w:rPr>
                <w:sz w:val="18"/>
                <w:szCs w:val="18"/>
              </w:rPr>
              <w:t xml:space="preserve"> </w:t>
            </w:r>
          </w:p>
        </w:tc>
      </w:tr>
      <w:tr w:rsidR="0058424E" w14:paraId="01E6F1FD"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A2B65" w14:textId="77777777" w:rsidR="0058424E" w:rsidRDefault="002119FA">
            <w:pPr>
              <w:spacing w:line="240" w:lineRule="auto"/>
              <w:rPr>
                <w:sz w:val="18"/>
                <w:szCs w:val="18"/>
              </w:rPr>
            </w:pPr>
            <w:r>
              <w:rPr>
                <w:sz w:val="18"/>
                <w:szCs w:val="18"/>
              </w:rPr>
              <w:lastRenderedPageBreak/>
              <w:t>Students are provided technology resources to facilitate equal access all participation modes.</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FB767" w14:textId="77777777" w:rsidR="0058424E" w:rsidRDefault="002119FA">
            <w:pPr>
              <w:spacing w:line="240" w:lineRule="auto"/>
              <w:rPr>
                <w:sz w:val="18"/>
                <w:szCs w:val="18"/>
              </w:rPr>
            </w:pPr>
            <w:r>
              <w:rPr>
                <w:color w:val="212529"/>
                <w:sz w:val="18"/>
                <w:szCs w:val="18"/>
                <w:highlight w:val="white"/>
              </w:rPr>
              <w:t>Access to information and support: Embed or place proximate to the information: instructions, help links, etc. (</w:t>
            </w:r>
            <w:r>
              <w:rPr>
                <w:sz w:val="18"/>
                <w:szCs w:val="18"/>
              </w:rPr>
              <w:t>Support)</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BD1F9"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0912F1FC"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36DA10B0"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66BEF5FE"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00B1B" w14:textId="77777777" w:rsidR="0058424E" w:rsidRDefault="002119FA">
            <w:pPr>
              <w:spacing w:line="240" w:lineRule="auto"/>
              <w:rPr>
                <w:sz w:val="18"/>
                <w:szCs w:val="18"/>
              </w:rPr>
            </w:pPr>
            <w:r>
              <w:rPr>
                <w:sz w:val="18"/>
                <w:szCs w:val="18"/>
              </w:rPr>
              <w:t xml:space="preserve"> </w:t>
            </w:r>
          </w:p>
        </w:tc>
      </w:tr>
      <w:tr w:rsidR="0058424E" w14:paraId="4C1CA51D"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E2EF6" w14:textId="77777777" w:rsidR="0058424E" w:rsidRDefault="002119FA">
            <w:pPr>
              <w:spacing w:line="240" w:lineRule="auto"/>
              <w:rPr>
                <w:sz w:val="18"/>
                <w:szCs w:val="18"/>
              </w:rPr>
            </w:pPr>
            <w:r>
              <w:rPr>
                <w:sz w:val="18"/>
                <w:szCs w:val="18"/>
              </w:rPr>
              <w:t>Equitable access is available all for participation modes.</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BC41C0" w14:textId="77777777" w:rsidR="0058424E" w:rsidRDefault="002119FA">
            <w:pPr>
              <w:spacing w:line="240" w:lineRule="auto"/>
              <w:rPr>
                <w:sz w:val="18"/>
                <w:szCs w:val="18"/>
              </w:rPr>
            </w:pPr>
            <w:r>
              <w:rPr>
                <w:color w:val="212529"/>
                <w:sz w:val="18"/>
                <w:szCs w:val="18"/>
                <w:highlight w:val="white"/>
              </w:rPr>
              <w:t>Learners can participate in any offered modality. Ex. Access to reliable Internet and device technology. (</w:t>
            </w:r>
            <w:r>
              <w:rPr>
                <w:sz w:val="18"/>
                <w:szCs w:val="18"/>
              </w:rPr>
              <w:t>Access)</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33DF0"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2ADBFC33"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54670C77"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10560634"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8AB9E" w14:textId="77777777" w:rsidR="0058424E" w:rsidRDefault="002119FA">
            <w:pPr>
              <w:spacing w:line="240" w:lineRule="auto"/>
              <w:rPr>
                <w:sz w:val="18"/>
                <w:szCs w:val="18"/>
              </w:rPr>
            </w:pPr>
            <w:r>
              <w:rPr>
                <w:sz w:val="18"/>
                <w:szCs w:val="18"/>
              </w:rPr>
              <w:t xml:space="preserve"> </w:t>
            </w:r>
          </w:p>
        </w:tc>
      </w:tr>
      <w:tr w:rsidR="0058424E" w14:paraId="4A544C94"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725C7" w14:textId="77777777" w:rsidR="0058424E" w:rsidRDefault="002119FA">
            <w:pPr>
              <w:spacing w:line="240" w:lineRule="auto"/>
              <w:rPr>
                <w:sz w:val="18"/>
                <w:szCs w:val="18"/>
              </w:rPr>
            </w:pPr>
            <w:r>
              <w:rPr>
                <w:sz w:val="18"/>
                <w:szCs w:val="18"/>
              </w:rPr>
              <w:t>Learners are equipped with the skills to access all participation modes.</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70E76A" w14:textId="77777777" w:rsidR="0058424E" w:rsidRDefault="002119FA">
            <w:pPr>
              <w:spacing w:line="240" w:lineRule="auto"/>
              <w:rPr>
                <w:sz w:val="18"/>
                <w:szCs w:val="18"/>
              </w:rPr>
            </w:pPr>
            <w:r>
              <w:rPr>
                <w:color w:val="212529"/>
                <w:sz w:val="18"/>
                <w:szCs w:val="18"/>
                <w:highlight w:val="white"/>
              </w:rPr>
              <w:t>Learners have the necessary skills to be able to participate in any offered modality. (</w:t>
            </w:r>
            <w:r>
              <w:rPr>
                <w:sz w:val="18"/>
                <w:szCs w:val="18"/>
              </w:rPr>
              <w:t>Skills)</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A6FC0"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054E09F7"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1DE0FAB6"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5AFED183"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B86DAC" w14:textId="77777777" w:rsidR="0058424E" w:rsidRDefault="002119FA">
            <w:pPr>
              <w:spacing w:line="240" w:lineRule="auto"/>
              <w:rPr>
                <w:sz w:val="18"/>
                <w:szCs w:val="18"/>
              </w:rPr>
            </w:pPr>
            <w:r>
              <w:rPr>
                <w:sz w:val="18"/>
                <w:szCs w:val="18"/>
              </w:rPr>
              <w:t xml:space="preserve"> </w:t>
            </w:r>
          </w:p>
        </w:tc>
      </w:tr>
      <w:tr w:rsidR="0058424E" w14:paraId="341F6309"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AB597" w14:textId="77777777" w:rsidR="0058424E" w:rsidRDefault="002119FA">
            <w:pPr>
              <w:spacing w:line="240" w:lineRule="auto"/>
              <w:rPr>
                <w:sz w:val="18"/>
                <w:szCs w:val="18"/>
              </w:rPr>
            </w:pPr>
            <w:r>
              <w:rPr>
                <w:sz w:val="18"/>
                <w:szCs w:val="18"/>
              </w:rPr>
              <w:t>Universal Design for Learning (UDL) principles are embedded in the course.</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CE7C7" w14:textId="77777777" w:rsidR="0058424E" w:rsidRDefault="002119FA">
            <w:pPr>
              <w:spacing w:line="240" w:lineRule="auto"/>
              <w:rPr>
                <w:sz w:val="18"/>
                <w:szCs w:val="18"/>
              </w:rPr>
            </w:pPr>
            <w:r>
              <w:rPr>
                <w:sz w:val="18"/>
                <w:szCs w:val="18"/>
              </w:rPr>
              <w:t>Meaningful options are present for accessing information, processing new information, and representing knowledge. Information is presented in chunked, manageable, error-free blocks.</w:t>
            </w:r>
          </w:p>
          <w:p w14:paraId="78E523F0" w14:textId="5A88056F" w:rsidR="0071794F" w:rsidRDefault="0071794F">
            <w:pPr>
              <w:spacing w:line="240" w:lineRule="auto"/>
              <w:rPr>
                <w:sz w:val="18"/>
                <w:szCs w:val="18"/>
              </w:rPr>
            </w:pPr>
            <w:r w:rsidRPr="0071794F">
              <w:rPr>
                <w:sz w:val="18"/>
                <w:szCs w:val="18"/>
                <w:highlight w:val="yellow"/>
              </w:rPr>
              <w:t>If Zoom meetings are recorded, they are closed captioned and are not the only means of instruction.</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0B656"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757FB65D"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3F8405AC"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46DA62F0"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267A8" w14:textId="77777777" w:rsidR="0058424E" w:rsidRDefault="002119FA">
            <w:pPr>
              <w:spacing w:line="240" w:lineRule="auto"/>
              <w:rPr>
                <w:sz w:val="18"/>
                <w:szCs w:val="18"/>
              </w:rPr>
            </w:pPr>
            <w:r>
              <w:rPr>
                <w:sz w:val="18"/>
                <w:szCs w:val="18"/>
              </w:rPr>
              <w:t xml:space="preserve"> </w:t>
            </w:r>
          </w:p>
        </w:tc>
      </w:tr>
      <w:tr w:rsidR="0058424E" w14:paraId="3B9824B8" w14:textId="77777777">
        <w:trPr>
          <w:trHeight w:val="399"/>
        </w:trPr>
        <w:tc>
          <w:tcPr>
            <w:tcW w:w="253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3327234B" w14:textId="77777777" w:rsidR="0058424E" w:rsidRDefault="002119FA">
            <w:pPr>
              <w:rPr>
                <w:sz w:val="20"/>
                <w:szCs w:val="20"/>
              </w:rPr>
            </w:pPr>
            <w:r>
              <w:rPr>
                <w:sz w:val="20"/>
                <w:szCs w:val="20"/>
              </w:rPr>
              <w:t>Metric</w:t>
            </w:r>
          </w:p>
        </w:tc>
        <w:tc>
          <w:tcPr>
            <w:tcW w:w="373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F81B19C" w14:textId="77777777" w:rsidR="0058424E" w:rsidRDefault="002119FA">
            <w:pPr>
              <w:rPr>
                <w:sz w:val="20"/>
                <w:szCs w:val="20"/>
              </w:rPr>
            </w:pPr>
            <w:r>
              <w:rPr>
                <w:sz w:val="20"/>
                <w:szCs w:val="20"/>
              </w:rPr>
              <w:t>Description</w:t>
            </w:r>
          </w:p>
        </w:tc>
        <w:tc>
          <w:tcPr>
            <w:tcW w:w="289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D87A4CF" w14:textId="77777777" w:rsidR="0058424E" w:rsidRDefault="002119FA">
            <w:pPr>
              <w:rPr>
                <w:sz w:val="20"/>
                <w:szCs w:val="20"/>
              </w:rPr>
            </w:pPr>
            <w:r>
              <w:rPr>
                <w:sz w:val="20"/>
                <w:szCs w:val="20"/>
              </w:rPr>
              <w:t>Revision Status</w:t>
            </w:r>
          </w:p>
        </w:tc>
        <w:tc>
          <w:tcPr>
            <w:tcW w:w="34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47CA6BD8" w14:textId="77777777" w:rsidR="0058424E" w:rsidRDefault="002119FA">
            <w:pPr>
              <w:rPr>
                <w:sz w:val="20"/>
                <w:szCs w:val="20"/>
              </w:rPr>
            </w:pPr>
            <w:r>
              <w:rPr>
                <w:sz w:val="20"/>
                <w:szCs w:val="20"/>
              </w:rPr>
              <w:t>Action Plan &amp; Comments</w:t>
            </w:r>
          </w:p>
        </w:tc>
      </w:tr>
      <w:tr w:rsidR="0058424E" w14:paraId="77689A49"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58C38" w14:textId="77777777" w:rsidR="0058424E" w:rsidRDefault="002119FA">
            <w:pPr>
              <w:spacing w:line="240" w:lineRule="auto"/>
              <w:rPr>
                <w:color w:val="212529"/>
                <w:sz w:val="18"/>
                <w:szCs w:val="18"/>
                <w:highlight w:val="white"/>
              </w:rPr>
            </w:pPr>
            <w:r>
              <w:rPr>
                <w:color w:val="212529"/>
                <w:sz w:val="18"/>
                <w:szCs w:val="18"/>
                <w:highlight w:val="white"/>
              </w:rPr>
              <w:lastRenderedPageBreak/>
              <w:t>The design promotes learner independence.</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13754" w14:textId="77777777" w:rsidR="0058424E" w:rsidRDefault="002119FA">
            <w:pPr>
              <w:spacing w:line="240" w:lineRule="auto"/>
              <w:rPr>
                <w:sz w:val="18"/>
                <w:szCs w:val="18"/>
              </w:rPr>
            </w:pPr>
            <w:r>
              <w:rPr>
                <w:sz w:val="18"/>
                <w:szCs w:val="18"/>
              </w:rPr>
              <w:t>Instructor uses strategies that encourage students to be self-directed and take responsibility for their learning.</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47C71"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14B6B652"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407D3544"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1E714480"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DB152" w14:textId="77777777" w:rsidR="0058424E" w:rsidRDefault="002119FA">
            <w:pPr>
              <w:spacing w:line="240" w:lineRule="auto"/>
              <w:rPr>
                <w:sz w:val="18"/>
                <w:szCs w:val="18"/>
              </w:rPr>
            </w:pPr>
            <w:r>
              <w:rPr>
                <w:sz w:val="18"/>
                <w:szCs w:val="18"/>
              </w:rPr>
              <w:t xml:space="preserve"> </w:t>
            </w:r>
          </w:p>
        </w:tc>
      </w:tr>
      <w:tr w:rsidR="0058424E" w14:paraId="5DCAA685"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3DA55" w14:textId="77777777" w:rsidR="0058424E" w:rsidRDefault="002119FA">
            <w:pPr>
              <w:spacing w:line="240" w:lineRule="auto"/>
              <w:rPr>
                <w:sz w:val="18"/>
                <w:szCs w:val="18"/>
              </w:rPr>
            </w:pPr>
            <w:r>
              <w:rPr>
                <w:sz w:val="18"/>
                <w:szCs w:val="18"/>
              </w:rPr>
              <w:t>Engagement tools support access by all students in the course.</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BB370" w14:textId="77777777" w:rsidR="0058424E" w:rsidRDefault="002119FA">
            <w:pPr>
              <w:spacing w:line="240" w:lineRule="auto"/>
              <w:rPr>
                <w:color w:val="212529"/>
                <w:sz w:val="18"/>
                <w:szCs w:val="18"/>
                <w:highlight w:val="white"/>
              </w:rPr>
            </w:pPr>
            <w:r>
              <w:rPr>
                <w:color w:val="212529"/>
                <w:sz w:val="18"/>
                <w:szCs w:val="18"/>
                <w:highlight w:val="white"/>
              </w:rPr>
              <w:t>Engagement tools are accessible and used in multiple modes.</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FB13F"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756F9B65"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55A965E7"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5EB744A1"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0BC0A" w14:textId="77777777" w:rsidR="0058424E" w:rsidRDefault="002119FA">
            <w:pPr>
              <w:spacing w:line="240" w:lineRule="auto"/>
              <w:rPr>
                <w:sz w:val="18"/>
                <w:szCs w:val="18"/>
              </w:rPr>
            </w:pPr>
            <w:r>
              <w:rPr>
                <w:sz w:val="18"/>
                <w:szCs w:val="18"/>
              </w:rPr>
              <w:t xml:space="preserve"> </w:t>
            </w:r>
          </w:p>
        </w:tc>
      </w:tr>
      <w:tr w:rsidR="0058424E" w14:paraId="09A36304" w14:textId="77777777">
        <w:trPr>
          <w:trHeight w:val="18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322D2" w14:textId="77777777" w:rsidR="0058424E" w:rsidRDefault="002119FA">
            <w:pPr>
              <w:spacing w:line="240" w:lineRule="auto"/>
              <w:rPr>
                <w:color w:val="212529"/>
                <w:sz w:val="18"/>
                <w:szCs w:val="18"/>
                <w:highlight w:val="white"/>
              </w:rPr>
            </w:pPr>
            <w:r>
              <w:rPr>
                <w:sz w:val="18"/>
                <w:szCs w:val="18"/>
              </w:rPr>
              <w:t xml:space="preserve"> </w:t>
            </w:r>
            <w:r>
              <w:rPr>
                <w:color w:val="212529"/>
                <w:sz w:val="18"/>
                <w:szCs w:val="18"/>
                <w:highlight w:val="white"/>
              </w:rPr>
              <w:t>Learners can access the materials across modalities.</w:t>
            </w: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B9858" w14:textId="77777777" w:rsidR="0058424E" w:rsidRDefault="002119FA">
            <w:pPr>
              <w:spacing w:line="240" w:lineRule="auto"/>
              <w:rPr>
                <w:sz w:val="18"/>
                <w:szCs w:val="18"/>
              </w:rPr>
            </w:pPr>
            <w:r>
              <w:rPr>
                <w:sz w:val="18"/>
                <w:szCs w:val="18"/>
              </w:rPr>
              <w:t>All learners can effectively participate across modalities.</w:t>
            </w:r>
          </w:p>
          <w:p w14:paraId="395061CE" w14:textId="77777777" w:rsidR="0058424E" w:rsidRDefault="002119FA">
            <w:pPr>
              <w:spacing w:line="240" w:lineRule="auto"/>
              <w:rPr>
                <w:sz w:val="18"/>
                <w:szCs w:val="18"/>
              </w:rPr>
            </w:pPr>
            <w:r>
              <w:rPr>
                <w:sz w:val="18"/>
                <w:szCs w:val="18"/>
              </w:rPr>
              <w:t xml:space="preserve"> </w:t>
            </w:r>
          </w:p>
          <w:p w14:paraId="5BC4DCCC" w14:textId="77777777" w:rsidR="0058424E" w:rsidRDefault="002119FA">
            <w:pPr>
              <w:spacing w:line="240" w:lineRule="auto"/>
              <w:rPr>
                <w:color w:val="212529"/>
                <w:sz w:val="18"/>
                <w:szCs w:val="18"/>
                <w:highlight w:val="white"/>
              </w:rPr>
            </w:pPr>
            <w:r>
              <w:rPr>
                <w:color w:val="212529"/>
                <w:sz w:val="18"/>
                <w:szCs w:val="18"/>
                <w:highlight w:val="white"/>
              </w:rP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76A75" w14:textId="77777777" w:rsidR="0058424E" w:rsidRDefault="002119FA">
            <w:pPr>
              <w:spacing w:line="240" w:lineRule="auto"/>
              <w:rPr>
                <w:rFonts w:ascii="Calibri" w:eastAsia="Calibri" w:hAnsi="Calibri" w:cs="Calibri"/>
                <w:sz w:val="34"/>
                <w:szCs w:val="34"/>
              </w:rPr>
            </w:pPr>
            <w:r>
              <w:rPr>
                <w:sz w:val="18"/>
                <w:szCs w:val="18"/>
              </w:rPr>
              <w:t>Sufficiently met</w:t>
            </w:r>
            <w:r>
              <w:rPr>
                <w:sz w:val="34"/>
                <w:szCs w:val="34"/>
              </w:rPr>
              <w:t xml:space="preserve"> </w:t>
            </w:r>
            <w:r>
              <w:rPr>
                <w:rFonts w:ascii="Calibri" w:eastAsia="Calibri" w:hAnsi="Calibri" w:cs="Calibri"/>
                <w:sz w:val="34"/>
                <w:szCs w:val="34"/>
              </w:rPr>
              <w:t>o</w:t>
            </w:r>
          </w:p>
          <w:p w14:paraId="769BD701" w14:textId="77777777" w:rsidR="0058424E" w:rsidRDefault="002119FA">
            <w:pPr>
              <w:spacing w:line="240" w:lineRule="auto"/>
              <w:rPr>
                <w:rFonts w:ascii="Calibri" w:eastAsia="Calibri" w:hAnsi="Calibri" w:cs="Calibri"/>
                <w:sz w:val="34"/>
                <w:szCs w:val="34"/>
              </w:rPr>
            </w:pPr>
            <w:r>
              <w:rPr>
                <w:sz w:val="18"/>
                <w:szCs w:val="18"/>
              </w:rPr>
              <w:t>Minor</w:t>
            </w:r>
            <w:r>
              <w:rPr>
                <w:sz w:val="34"/>
                <w:szCs w:val="34"/>
              </w:rPr>
              <w:t xml:space="preserve"> </w:t>
            </w:r>
            <w:r>
              <w:rPr>
                <w:rFonts w:ascii="Calibri" w:eastAsia="Calibri" w:hAnsi="Calibri" w:cs="Calibri"/>
                <w:sz w:val="34"/>
                <w:szCs w:val="34"/>
              </w:rPr>
              <w:t>o</w:t>
            </w:r>
          </w:p>
          <w:p w14:paraId="53942CA9" w14:textId="77777777" w:rsidR="0058424E" w:rsidRDefault="002119FA">
            <w:pPr>
              <w:spacing w:line="240" w:lineRule="auto"/>
              <w:rPr>
                <w:rFonts w:ascii="Calibri" w:eastAsia="Calibri" w:hAnsi="Calibri" w:cs="Calibri"/>
                <w:sz w:val="34"/>
                <w:szCs w:val="34"/>
              </w:rPr>
            </w:pPr>
            <w:r>
              <w:rPr>
                <w:sz w:val="18"/>
                <w:szCs w:val="18"/>
              </w:rPr>
              <w:t>Moderate</w:t>
            </w:r>
            <w:r>
              <w:rPr>
                <w:sz w:val="34"/>
                <w:szCs w:val="34"/>
              </w:rPr>
              <w:t xml:space="preserve"> </w:t>
            </w:r>
            <w:r>
              <w:rPr>
                <w:rFonts w:ascii="Calibri" w:eastAsia="Calibri" w:hAnsi="Calibri" w:cs="Calibri"/>
                <w:sz w:val="34"/>
                <w:szCs w:val="34"/>
              </w:rPr>
              <w:t>o</w:t>
            </w:r>
          </w:p>
          <w:p w14:paraId="76822D6D" w14:textId="77777777" w:rsidR="0058424E" w:rsidRDefault="002119FA">
            <w:pPr>
              <w:spacing w:line="240" w:lineRule="auto"/>
              <w:rPr>
                <w:rFonts w:ascii="Calibri" w:eastAsia="Calibri" w:hAnsi="Calibri" w:cs="Calibri"/>
                <w:sz w:val="34"/>
                <w:szCs w:val="34"/>
              </w:rPr>
            </w:pPr>
            <w:r>
              <w:rPr>
                <w:sz w:val="18"/>
                <w:szCs w:val="18"/>
              </w:rPr>
              <w:t>Major</w:t>
            </w:r>
            <w:r>
              <w:rPr>
                <w:sz w:val="34"/>
                <w:szCs w:val="34"/>
              </w:rPr>
              <w:t xml:space="preserve"> </w:t>
            </w:r>
            <w:r>
              <w:rPr>
                <w:rFonts w:ascii="Calibri" w:eastAsia="Calibri" w:hAnsi="Calibri" w:cs="Calibri"/>
                <w:sz w:val="34"/>
                <w:szCs w:val="34"/>
              </w:rPr>
              <w:t>o</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5AD39" w14:textId="77777777" w:rsidR="0058424E" w:rsidRDefault="002119FA">
            <w:pPr>
              <w:spacing w:line="240" w:lineRule="auto"/>
              <w:rPr>
                <w:sz w:val="18"/>
                <w:szCs w:val="18"/>
              </w:rPr>
            </w:pPr>
            <w:r>
              <w:rPr>
                <w:sz w:val="18"/>
                <w:szCs w:val="18"/>
              </w:rPr>
              <w:t xml:space="preserve"> </w:t>
            </w:r>
          </w:p>
        </w:tc>
      </w:tr>
    </w:tbl>
    <w:p w14:paraId="5C1A34F1" w14:textId="77777777" w:rsidR="0058424E" w:rsidRDefault="002119FA">
      <w:pPr>
        <w:rPr>
          <w:sz w:val="20"/>
          <w:szCs w:val="20"/>
        </w:rPr>
      </w:pPr>
      <w:r>
        <w:rPr>
          <w:sz w:val="20"/>
          <w:szCs w:val="20"/>
        </w:rPr>
        <w:t xml:space="preserve"> </w:t>
      </w:r>
    </w:p>
    <w:p w14:paraId="746DECFF" w14:textId="77777777" w:rsidR="0058424E" w:rsidRDefault="002119FA">
      <w:pPr>
        <w:rPr>
          <w:sz w:val="20"/>
          <w:szCs w:val="20"/>
        </w:rPr>
      </w:pPr>
      <w:r>
        <w:rPr>
          <w:sz w:val="20"/>
          <w:szCs w:val="20"/>
        </w:rPr>
        <w:t xml:space="preserve"> </w:t>
      </w:r>
    </w:p>
    <w:p w14:paraId="3829DE9C" w14:textId="77777777" w:rsidR="0058424E" w:rsidRDefault="002119FA">
      <w:pPr>
        <w:rPr>
          <w:color w:val="0563C1"/>
          <w:sz w:val="20"/>
          <w:szCs w:val="20"/>
          <w:u w:val="single"/>
        </w:rPr>
      </w:pPr>
      <w:r>
        <w:rPr>
          <w:sz w:val="20"/>
          <w:szCs w:val="20"/>
        </w:rPr>
        <w:t>Live Google doc:</w:t>
      </w:r>
      <w:hyperlink r:id="rId9">
        <w:r>
          <w:rPr>
            <w:sz w:val="20"/>
            <w:szCs w:val="20"/>
          </w:rPr>
          <w:t xml:space="preserve"> </w:t>
        </w:r>
      </w:hyperlink>
      <w:hyperlink r:id="rId10">
        <w:r>
          <w:rPr>
            <w:color w:val="0563C1"/>
            <w:sz w:val="20"/>
            <w:szCs w:val="20"/>
            <w:u w:val="single"/>
          </w:rPr>
          <w:t>https://docs.google.com/document/d/1O92qWktmZ0uN_e6yURonUK_bZOvNzGKAsq2c8eFFfmA/edit#</w:t>
        </w:r>
      </w:hyperlink>
    </w:p>
    <w:p w14:paraId="394DD6C5" w14:textId="77777777" w:rsidR="0058424E" w:rsidRDefault="0058424E">
      <w:pPr>
        <w:ind w:left="720"/>
      </w:pPr>
    </w:p>
    <w:sectPr w:rsidR="0058424E">
      <w:footerReference w:type="default" r:id="rId11"/>
      <w:headerReference w:type="first" r:id="rId12"/>
      <w:footerReference w:type="first" r:id="rId13"/>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382A" w14:textId="77777777" w:rsidR="00643967" w:rsidRDefault="00643967">
      <w:pPr>
        <w:spacing w:line="240" w:lineRule="auto"/>
      </w:pPr>
      <w:r>
        <w:separator/>
      </w:r>
    </w:p>
  </w:endnote>
  <w:endnote w:type="continuationSeparator" w:id="0">
    <w:p w14:paraId="5DC65804" w14:textId="77777777" w:rsidR="00643967" w:rsidRDefault="00643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0B36" w14:textId="77777777" w:rsidR="0058424E" w:rsidRDefault="0058424E">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BB23" w14:textId="77777777" w:rsidR="0058424E" w:rsidRDefault="002119FA">
    <w:r>
      <w:rPr>
        <w:sz w:val="18"/>
        <w:szCs w:val="18"/>
      </w:rPr>
      <w:t xml:space="preserve">Adapted from The OSCQR Rubric under the Creative Commons Attribution 4.0 International License (CC By 4.0). To view a copy of this license, visit https://creativecommons.org/licenses/by/4.0/.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3D9" w14:textId="77777777" w:rsidR="00643967" w:rsidRDefault="00643967">
      <w:pPr>
        <w:spacing w:line="240" w:lineRule="auto"/>
      </w:pPr>
      <w:r>
        <w:separator/>
      </w:r>
    </w:p>
  </w:footnote>
  <w:footnote w:type="continuationSeparator" w:id="0">
    <w:p w14:paraId="3553F907" w14:textId="77777777" w:rsidR="00643967" w:rsidRDefault="00643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3107" w14:textId="77777777" w:rsidR="0058424E" w:rsidRDefault="005842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4E"/>
    <w:rsid w:val="002119FA"/>
    <w:rsid w:val="00394BBE"/>
    <w:rsid w:val="00502AE3"/>
    <w:rsid w:val="0058424E"/>
    <w:rsid w:val="00643967"/>
    <w:rsid w:val="00650ECC"/>
    <w:rsid w:val="006B2AA8"/>
    <w:rsid w:val="0071794F"/>
    <w:rsid w:val="008641B6"/>
    <w:rsid w:val="00A35F3E"/>
    <w:rsid w:val="00AE6A5D"/>
    <w:rsid w:val="00C94305"/>
    <w:rsid w:val="00F1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13514"/>
  <w15:docId w15:val="{8ED9624E-3F0B-4397-A2DE-7365DBEA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document/d/1O92qWktmZ0uN_e6yURonUK_bZOvNzGKAsq2c8eFFfmA/edit" TargetMode="External"/><Relationship Id="rId4" Type="http://schemas.openxmlformats.org/officeDocument/2006/relationships/styles" Target="styles.xml"/><Relationship Id="rId9" Type="http://schemas.openxmlformats.org/officeDocument/2006/relationships/hyperlink" Target="https://docs.google.com/document/d/1O92qWktmZ0uN_e6yURonUK_bZOvNzGKAsq2c8eFFfmA/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4F21C1277DB44AA9757A9863898CC" ma:contentTypeVersion="15" ma:contentTypeDescription="Create a new document." ma:contentTypeScope="" ma:versionID="fc85316d22ee2913c566993b78ca6d4f">
  <xsd:schema xmlns:xsd="http://www.w3.org/2001/XMLSchema" xmlns:xs="http://www.w3.org/2001/XMLSchema" xmlns:p="http://schemas.microsoft.com/office/2006/metadata/properties" xmlns:ns3="bb85492f-20fe-446b-bed5-fb44f4282fd3" xmlns:ns4="96f1390d-588d-4e44-b533-2489e75766df" targetNamespace="http://schemas.microsoft.com/office/2006/metadata/properties" ma:root="true" ma:fieldsID="e1a0873a88e3f0ed3deba8b5232b2cf5" ns3:_="" ns4:_="">
    <xsd:import namespace="bb85492f-20fe-446b-bed5-fb44f4282fd3"/>
    <xsd:import namespace="96f1390d-588d-4e44-b533-2489e75766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492f-20fe-446b-bed5-fb44f4282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1390d-588d-4e44-b533-2489e75766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F7EFC-A0A7-45A3-9CE2-294C85C4C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98BEE-19A3-4346-B851-743B24C4D433}">
  <ds:schemaRefs>
    <ds:schemaRef ds:uri="http://schemas.microsoft.com/sharepoint/v3/contenttype/forms"/>
  </ds:schemaRefs>
</ds:datastoreItem>
</file>

<file path=customXml/itemProps3.xml><?xml version="1.0" encoding="utf-8"?>
<ds:datastoreItem xmlns:ds="http://schemas.openxmlformats.org/officeDocument/2006/customXml" ds:itemID="{E8FB35C8-6D6C-429C-80A9-FAD2C1B11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492f-20fe-446b-bed5-fb44f4282fd3"/>
    <ds:schemaRef ds:uri="96f1390d-588d-4e44-b533-2489e757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1310</Words>
  <Characters>7507</Characters>
  <Application>Microsoft Office Word</Application>
  <DocSecurity>0</DocSecurity>
  <Lines>375</Lines>
  <Paragraphs>215</Paragraphs>
  <ScaleCrop>false</ScaleCrop>
  <HeadingPairs>
    <vt:vector size="2" baseType="variant">
      <vt:variant>
        <vt:lpstr>Title</vt:lpstr>
      </vt:variant>
      <vt:variant>
        <vt:i4>1</vt:i4>
      </vt:variant>
    </vt:vector>
  </HeadingPairs>
  <TitlesOfParts>
    <vt:vector size="1" baseType="lpstr">
      <vt:lpstr/>
    </vt:vector>
  </TitlesOfParts>
  <Company>Reynolds Community College</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 Larue</dc:creator>
  <cp:lastModifiedBy>Mary F. Larue</cp:lastModifiedBy>
  <cp:revision>9</cp:revision>
  <dcterms:created xsi:type="dcterms:W3CDTF">2023-09-01T18:28:00Z</dcterms:created>
  <dcterms:modified xsi:type="dcterms:W3CDTF">2024-04-04T12:27:00Z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0x0101005A34F21C1277DB44AA9757A9863898CC</vt:lpwstr>
  </property>
  <property fmtid="{D5CDD505-2E9C-101B-9397-08002B2CF9AE}" pid="3" name="GrammarlyDocumentId">
    <vt:lpwstr>09a008e40541c46624739850b69b92c898700a94dba382dc32c8b8e2b772eea9</vt:lpwstr>
  </property>
</Properties>
</file>